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2D4FD" w14:textId="70D9078E" w:rsidR="00AC521F" w:rsidRDefault="00AC521F" w:rsidP="00AC521F">
      <w:pPr>
        <w:spacing w:line="480" w:lineRule="auto"/>
        <w:jc w:val="center"/>
        <w:rPr>
          <w:rFonts w:ascii="Times New Roman" w:hAnsi="Times New Roman"/>
          <w:sz w:val="24"/>
          <w:shd w:val="clear" w:color="auto" w:fill="FFFFFF"/>
        </w:rPr>
      </w:pPr>
      <w:r w:rsidRPr="008F47C9">
        <w:rPr>
          <w:rFonts w:ascii="Times New Roman" w:hAnsi="Times New Roman"/>
          <w:b/>
          <w:bCs/>
          <w:sz w:val="32"/>
          <w:szCs w:val="32"/>
          <w:shd w:val="clear" w:color="auto" w:fill="FFFFFF"/>
        </w:rPr>
        <w:t xml:space="preserve">Government </w:t>
      </w:r>
      <w:r w:rsidR="009A60E5" w:rsidRPr="008F47C9">
        <w:rPr>
          <w:rFonts w:ascii="Times New Roman" w:hAnsi="Times New Roman"/>
          <w:b/>
          <w:bCs/>
          <w:sz w:val="32"/>
          <w:szCs w:val="32"/>
          <w:shd w:val="clear" w:color="auto" w:fill="FFFFFF"/>
        </w:rPr>
        <w:t>Finance</w:t>
      </w:r>
      <w:r w:rsidRPr="008F47C9">
        <w:rPr>
          <w:rFonts w:ascii="Times New Roman" w:hAnsi="Times New Roman"/>
          <w:b/>
          <w:bCs/>
          <w:sz w:val="32"/>
          <w:szCs w:val="32"/>
          <w:shd w:val="clear" w:color="auto" w:fill="FFFFFF"/>
        </w:rPr>
        <w:t xml:space="preserve"> </w:t>
      </w:r>
      <w:r w:rsidR="003C3351">
        <w:rPr>
          <w:rFonts w:ascii="Times New Roman" w:hAnsi="Times New Roman"/>
          <w:b/>
          <w:bCs/>
          <w:sz w:val="32"/>
          <w:szCs w:val="32"/>
          <w:shd w:val="clear" w:color="auto" w:fill="FFFFFF"/>
        </w:rPr>
        <w:t xml:space="preserve">by Central Banks </w:t>
      </w:r>
      <w:r w:rsidRPr="008F47C9">
        <w:rPr>
          <w:rFonts w:ascii="Times New Roman" w:hAnsi="Times New Roman"/>
          <w:b/>
          <w:bCs/>
          <w:sz w:val="32"/>
          <w:szCs w:val="32"/>
          <w:shd w:val="clear" w:color="auto" w:fill="FFFFFF"/>
        </w:rPr>
        <w:t xml:space="preserve">and Inflation Expectations </w:t>
      </w:r>
      <w:r w:rsidR="00F25B0E">
        <w:rPr>
          <w:rFonts w:ascii="Times New Roman" w:hAnsi="Times New Roman"/>
          <w:b/>
          <w:bCs/>
          <w:sz w:val="32"/>
          <w:szCs w:val="32"/>
          <w:shd w:val="clear" w:color="auto" w:fill="FFFFFF"/>
        </w:rPr>
        <w:t>at the O</w:t>
      </w:r>
      <w:r w:rsidR="00E87133">
        <w:rPr>
          <w:rFonts w:ascii="Times New Roman" w:hAnsi="Times New Roman"/>
          <w:b/>
          <w:bCs/>
          <w:sz w:val="32"/>
          <w:szCs w:val="32"/>
          <w:shd w:val="clear" w:color="auto" w:fill="FFFFFF"/>
        </w:rPr>
        <w:t>n</w:t>
      </w:r>
      <w:r w:rsidR="00F25B0E">
        <w:rPr>
          <w:rFonts w:ascii="Times New Roman" w:hAnsi="Times New Roman"/>
          <w:b/>
          <w:bCs/>
          <w:sz w:val="32"/>
          <w:szCs w:val="32"/>
          <w:shd w:val="clear" w:color="auto" w:fill="FFFFFF"/>
        </w:rPr>
        <w:t>set of the COVID Pandemic</w:t>
      </w:r>
    </w:p>
    <w:p w14:paraId="2411A4FC" w14:textId="062C20BA" w:rsidR="00AC521F" w:rsidRDefault="00AC521F" w:rsidP="00AC521F">
      <w:pPr>
        <w:spacing w:line="480" w:lineRule="auto"/>
        <w:jc w:val="center"/>
        <w:rPr>
          <w:rFonts w:ascii="Times New Roman" w:hAnsi="Times New Roman"/>
          <w:sz w:val="24"/>
          <w:shd w:val="clear" w:color="auto" w:fill="FFFFFF"/>
        </w:rPr>
      </w:pPr>
      <w:r>
        <w:rPr>
          <w:rFonts w:ascii="Times New Roman" w:hAnsi="Times New Roman"/>
          <w:sz w:val="24"/>
          <w:shd w:val="clear" w:color="auto" w:fill="FFFFFF"/>
        </w:rPr>
        <w:t>Itai Agur (I</w:t>
      </w:r>
      <w:r w:rsidR="00EA4FAD">
        <w:rPr>
          <w:rFonts w:ascii="Times New Roman" w:hAnsi="Times New Roman"/>
          <w:sz w:val="24"/>
          <w:shd w:val="clear" w:color="auto" w:fill="FFFFFF"/>
        </w:rPr>
        <w:t>nternational Monetary Fund</w:t>
      </w:r>
      <w:r>
        <w:rPr>
          <w:rFonts w:ascii="Times New Roman" w:hAnsi="Times New Roman"/>
          <w:sz w:val="24"/>
          <w:shd w:val="clear" w:color="auto" w:fill="FFFFFF"/>
        </w:rPr>
        <w:t>)</w:t>
      </w:r>
      <w:r w:rsidR="00E87133">
        <w:rPr>
          <w:rStyle w:val="FootnoteReference"/>
          <w:rFonts w:ascii="Times New Roman" w:hAnsi="Times New Roman"/>
          <w:shd w:val="clear" w:color="auto" w:fill="FFFFFF"/>
        </w:rPr>
        <w:footnoteReference w:customMarkFollows="1" w:id="1"/>
        <w:t>*</w:t>
      </w:r>
      <w:r>
        <w:rPr>
          <w:rFonts w:ascii="Times New Roman" w:hAnsi="Times New Roman"/>
          <w:sz w:val="24"/>
          <w:shd w:val="clear" w:color="auto" w:fill="FFFFFF"/>
        </w:rPr>
        <w:t xml:space="preserve"> </w:t>
      </w:r>
    </w:p>
    <w:p w14:paraId="30E3355B" w14:textId="22B8E183" w:rsidR="00AC521F" w:rsidRPr="008F47C9" w:rsidRDefault="00AC521F" w:rsidP="00AC521F">
      <w:pPr>
        <w:spacing w:line="480" w:lineRule="auto"/>
        <w:jc w:val="center"/>
        <w:rPr>
          <w:rFonts w:ascii="Times New Roman" w:hAnsi="Times New Roman"/>
          <w:b/>
          <w:bCs/>
          <w:sz w:val="24"/>
          <w:shd w:val="clear" w:color="auto" w:fill="FFFFFF"/>
        </w:rPr>
      </w:pPr>
      <w:r>
        <w:rPr>
          <w:rFonts w:ascii="Times New Roman" w:hAnsi="Times New Roman"/>
          <w:b/>
          <w:bCs/>
          <w:sz w:val="24"/>
          <w:shd w:val="clear" w:color="auto" w:fill="FFFFFF"/>
        </w:rPr>
        <w:t>Abstract</w:t>
      </w:r>
    </w:p>
    <w:p w14:paraId="2FDC61FA" w14:textId="7DEFEAE8" w:rsidR="00B56CA1" w:rsidRDefault="00B56CA1" w:rsidP="00B56CA1">
      <w:pPr>
        <w:snapToGrid/>
        <w:spacing w:line="360" w:lineRule="auto"/>
        <w:jc w:val="both"/>
        <w:rPr>
          <w:rFonts w:ascii="Times New Roman" w:hAnsi="Times New Roman"/>
          <w:sz w:val="24"/>
          <w:szCs w:val="36"/>
        </w:rPr>
      </w:pPr>
      <w:r>
        <w:rPr>
          <w:rFonts w:ascii="Times New Roman" w:hAnsi="Times New Roman"/>
          <w:sz w:val="24"/>
          <w:szCs w:val="36"/>
        </w:rPr>
        <w:t>At the COVID pandemic</w:t>
      </w:r>
      <w:r w:rsidR="000967F0">
        <w:rPr>
          <w:rFonts w:ascii="Times New Roman" w:hAnsi="Times New Roman"/>
          <w:sz w:val="24"/>
          <w:szCs w:val="36"/>
        </w:rPr>
        <w:t>’s onset</w:t>
      </w:r>
      <w:r>
        <w:rPr>
          <w:rFonts w:ascii="Times New Roman" w:hAnsi="Times New Roman"/>
          <w:sz w:val="24"/>
          <w:szCs w:val="36"/>
        </w:rPr>
        <w:t xml:space="preserve">, many central banks responded with unconventional monetary policy (UMP) programs. </w:t>
      </w:r>
      <w:r w:rsidR="003F3D07">
        <w:rPr>
          <w:rFonts w:ascii="Times New Roman" w:hAnsi="Times New Roman"/>
          <w:sz w:val="24"/>
          <w:szCs w:val="36"/>
        </w:rPr>
        <w:t>I</w:t>
      </w:r>
      <w:r>
        <w:rPr>
          <w:rFonts w:ascii="Times New Roman" w:hAnsi="Times New Roman"/>
          <w:sz w:val="24"/>
          <w:szCs w:val="36"/>
        </w:rPr>
        <w:t>n emerging and developing economies</w:t>
      </w:r>
      <w:r w:rsidR="003D4D17">
        <w:rPr>
          <w:rFonts w:ascii="Times New Roman" w:hAnsi="Times New Roman"/>
          <w:sz w:val="24"/>
          <w:szCs w:val="36"/>
        </w:rPr>
        <w:t>,</w:t>
      </w:r>
      <w:r>
        <w:rPr>
          <w:rFonts w:ascii="Times New Roman" w:hAnsi="Times New Roman"/>
          <w:sz w:val="24"/>
          <w:szCs w:val="36"/>
        </w:rPr>
        <w:t xml:space="preserve"> various programs included components of direct government financing (DGF). This paper </w:t>
      </w:r>
      <w:r w:rsidRPr="00EA4FAD">
        <w:rPr>
          <w:rFonts w:ascii="Times New Roman" w:hAnsi="Times New Roman"/>
          <w:sz w:val="24"/>
          <w:szCs w:val="36"/>
        </w:rPr>
        <w:t xml:space="preserve">collects data on UMPs </w:t>
      </w:r>
      <w:r>
        <w:rPr>
          <w:rFonts w:ascii="Times New Roman" w:hAnsi="Times New Roman"/>
          <w:sz w:val="24"/>
          <w:szCs w:val="36"/>
        </w:rPr>
        <w:t>announced</w:t>
      </w:r>
      <w:r w:rsidRPr="00EA4FAD">
        <w:rPr>
          <w:rFonts w:ascii="Times New Roman" w:hAnsi="Times New Roman"/>
          <w:sz w:val="24"/>
          <w:szCs w:val="36"/>
        </w:rPr>
        <w:t xml:space="preserve"> </w:t>
      </w:r>
      <w:r>
        <w:rPr>
          <w:rFonts w:ascii="Times New Roman" w:hAnsi="Times New Roman"/>
          <w:sz w:val="24"/>
          <w:szCs w:val="36"/>
        </w:rPr>
        <w:t>during</w:t>
      </w:r>
      <w:r w:rsidRPr="00EA4FAD">
        <w:rPr>
          <w:rFonts w:ascii="Times New Roman" w:hAnsi="Times New Roman"/>
          <w:sz w:val="24"/>
          <w:szCs w:val="36"/>
        </w:rPr>
        <w:t xml:space="preserve"> 2020</w:t>
      </w:r>
      <w:r w:rsidR="003F3D07">
        <w:rPr>
          <w:rFonts w:ascii="Times New Roman" w:hAnsi="Times New Roman"/>
          <w:sz w:val="24"/>
          <w:szCs w:val="36"/>
        </w:rPr>
        <w:t xml:space="preserve"> and</w:t>
      </w:r>
      <w:r>
        <w:rPr>
          <w:rFonts w:ascii="Times New Roman" w:hAnsi="Times New Roman"/>
          <w:sz w:val="24"/>
          <w:szCs w:val="36"/>
        </w:rPr>
        <w:t xml:space="preserve"> investigates </w:t>
      </w:r>
      <w:r w:rsidR="00A26377">
        <w:rPr>
          <w:rFonts w:ascii="Times New Roman" w:hAnsi="Times New Roman"/>
          <w:sz w:val="24"/>
          <w:szCs w:val="36"/>
        </w:rPr>
        <w:t>how</w:t>
      </w:r>
      <w:r>
        <w:rPr>
          <w:rFonts w:ascii="Times New Roman" w:hAnsi="Times New Roman"/>
          <w:sz w:val="24"/>
          <w:szCs w:val="36"/>
        </w:rPr>
        <w:t xml:space="preserve"> inflation expectations </w:t>
      </w:r>
      <w:r w:rsidR="00A26377">
        <w:rPr>
          <w:rFonts w:ascii="Times New Roman" w:hAnsi="Times New Roman"/>
          <w:sz w:val="24"/>
          <w:szCs w:val="36"/>
        </w:rPr>
        <w:t xml:space="preserve">responded </w:t>
      </w:r>
      <w:r>
        <w:rPr>
          <w:rFonts w:ascii="Times New Roman" w:hAnsi="Times New Roman"/>
          <w:sz w:val="24"/>
          <w:szCs w:val="36"/>
        </w:rPr>
        <w:t>to different types of programs, providing a measure of real-time public perceptions of the inflation risks associated with them. Program</w:t>
      </w:r>
      <w:r w:rsidRPr="00586547">
        <w:rPr>
          <w:rFonts w:ascii="Times New Roman" w:hAnsi="Times New Roman"/>
          <w:sz w:val="24"/>
          <w:szCs w:val="36"/>
        </w:rPr>
        <w:t xml:space="preserve"> announcements</w:t>
      </w:r>
      <w:r w:rsidR="003F3D07">
        <w:rPr>
          <w:rFonts w:ascii="Times New Roman" w:hAnsi="Times New Roman"/>
          <w:sz w:val="24"/>
          <w:szCs w:val="36"/>
        </w:rPr>
        <w:t>, including DGFs,</w:t>
      </w:r>
      <w:r w:rsidRPr="00586547">
        <w:rPr>
          <w:rFonts w:ascii="Times New Roman" w:hAnsi="Times New Roman"/>
          <w:sz w:val="24"/>
          <w:szCs w:val="36"/>
        </w:rPr>
        <w:t xml:space="preserve"> </w:t>
      </w:r>
      <w:r w:rsidR="003F3D07">
        <w:rPr>
          <w:rFonts w:ascii="Times New Roman" w:hAnsi="Times New Roman"/>
          <w:sz w:val="24"/>
          <w:szCs w:val="36"/>
        </w:rPr>
        <w:t>did not lead</w:t>
      </w:r>
      <w:r w:rsidRPr="00586547">
        <w:rPr>
          <w:rFonts w:ascii="Times New Roman" w:hAnsi="Times New Roman"/>
          <w:sz w:val="24"/>
          <w:szCs w:val="36"/>
        </w:rPr>
        <w:t xml:space="preserve"> to significant increase</w:t>
      </w:r>
      <w:r>
        <w:rPr>
          <w:rFonts w:ascii="Times New Roman" w:hAnsi="Times New Roman"/>
          <w:sz w:val="24"/>
          <w:szCs w:val="36"/>
        </w:rPr>
        <w:t>s</w:t>
      </w:r>
      <w:r w:rsidRPr="00586547">
        <w:rPr>
          <w:rFonts w:ascii="Times New Roman" w:hAnsi="Times New Roman"/>
          <w:sz w:val="24"/>
          <w:szCs w:val="36"/>
        </w:rPr>
        <w:t xml:space="preserve"> in inflation expectations.</w:t>
      </w:r>
      <w:r>
        <w:rPr>
          <w:rFonts w:ascii="Times New Roman" w:hAnsi="Times New Roman"/>
          <w:sz w:val="24"/>
          <w:szCs w:val="36"/>
        </w:rPr>
        <w:t xml:space="preserve"> Possibly, the one-off nature of central banks’ COVID response was seen as credible in many countries, preventing an immediate de-anchoring of expectations.</w:t>
      </w:r>
    </w:p>
    <w:p w14:paraId="3AA4E778" w14:textId="77777777" w:rsidR="00B56CA1" w:rsidRDefault="00B56CA1" w:rsidP="00586547">
      <w:pPr>
        <w:snapToGrid/>
        <w:spacing w:line="360" w:lineRule="auto"/>
        <w:jc w:val="both"/>
        <w:rPr>
          <w:rFonts w:ascii="Times New Roman" w:hAnsi="Times New Roman"/>
          <w:sz w:val="24"/>
          <w:szCs w:val="36"/>
        </w:rPr>
      </w:pPr>
    </w:p>
    <w:p w14:paraId="25D8A487" w14:textId="1F813397" w:rsidR="00E87133" w:rsidRDefault="00E87133" w:rsidP="00586547">
      <w:pPr>
        <w:snapToGrid/>
        <w:spacing w:line="360" w:lineRule="auto"/>
        <w:jc w:val="both"/>
        <w:rPr>
          <w:rFonts w:ascii="Times New Roman" w:hAnsi="Times New Roman"/>
          <w:sz w:val="24"/>
          <w:szCs w:val="36"/>
        </w:rPr>
      </w:pPr>
      <w:r>
        <w:rPr>
          <w:rFonts w:ascii="Times New Roman" w:hAnsi="Times New Roman"/>
          <w:sz w:val="24"/>
          <w:szCs w:val="36"/>
        </w:rPr>
        <w:t>Keywords:</w:t>
      </w:r>
      <w:r w:rsidR="00846F5F">
        <w:rPr>
          <w:rFonts w:ascii="Times New Roman" w:hAnsi="Times New Roman"/>
          <w:sz w:val="24"/>
          <w:szCs w:val="36"/>
        </w:rPr>
        <w:t xml:space="preserve"> </w:t>
      </w:r>
      <w:r w:rsidR="005577AA">
        <w:rPr>
          <w:rFonts w:ascii="Times New Roman" w:hAnsi="Times New Roman"/>
          <w:sz w:val="24"/>
          <w:szCs w:val="36"/>
        </w:rPr>
        <w:t xml:space="preserve">Central banks; </w:t>
      </w:r>
      <w:r w:rsidR="00846F5F">
        <w:rPr>
          <w:rFonts w:ascii="Times New Roman" w:hAnsi="Times New Roman"/>
          <w:sz w:val="24"/>
          <w:szCs w:val="36"/>
        </w:rPr>
        <w:t xml:space="preserve">Quantitative easing; Monetary </w:t>
      </w:r>
      <w:r w:rsidR="005577AA">
        <w:rPr>
          <w:rFonts w:ascii="Times New Roman" w:hAnsi="Times New Roman"/>
          <w:sz w:val="24"/>
          <w:szCs w:val="36"/>
        </w:rPr>
        <w:t>f</w:t>
      </w:r>
      <w:r w:rsidR="00846F5F">
        <w:rPr>
          <w:rFonts w:ascii="Times New Roman" w:hAnsi="Times New Roman"/>
          <w:sz w:val="24"/>
          <w:szCs w:val="36"/>
        </w:rPr>
        <w:t>inance; Inflation</w:t>
      </w:r>
      <w:r w:rsidR="005577AA">
        <w:rPr>
          <w:rFonts w:ascii="Times New Roman" w:hAnsi="Times New Roman"/>
          <w:sz w:val="24"/>
          <w:szCs w:val="36"/>
        </w:rPr>
        <w:t xml:space="preserve"> expectations</w:t>
      </w:r>
      <w:r w:rsidR="00846F5F">
        <w:rPr>
          <w:rFonts w:ascii="Times New Roman" w:hAnsi="Times New Roman"/>
          <w:sz w:val="24"/>
          <w:szCs w:val="36"/>
        </w:rPr>
        <w:t>.</w:t>
      </w:r>
    </w:p>
    <w:p w14:paraId="70A569E7" w14:textId="30A1F771" w:rsidR="003F3D07" w:rsidRDefault="00E87133" w:rsidP="00586547">
      <w:pPr>
        <w:snapToGrid/>
        <w:spacing w:line="360" w:lineRule="auto"/>
        <w:jc w:val="both"/>
        <w:rPr>
          <w:rFonts w:ascii="Times New Roman" w:hAnsi="Times New Roman"/>
          <w:sz w:val="24"/>
          <w:szCs w:val="36"/>
        </w:rPr>
      </w:pPr>
      <w:r>
        <w:rPr>
          <w:rFonts w:ascii="Times New Roman" w:hAnsi="Times New Roman"/>
          <w:sz w:val="24"/>
          <w:szCs w:val="36"/>
        </w:rPr>
        <w:t>JEL Codes:</w:t>
      </w:r>
      <w:r w:rsidR="00A773D6">
        <w:rPr>
          <w:rFonts w:ascii="Times New Roman" w:hAnsi="Times New Roman"/>
          <w:sz w:val="24"/>
          <w:szCs w:val="36"/>
        </w:rPr>
        <w:t xml:space="preserve"> E58; E63; H69.</w:t>
      </w:r>
    </w:p>
    <w:p w14:paraId="509E7FFE" w14:textId="77777777" w:rsidR="003F3D07" w:rsidRDefault="003F3D07">
      <w:pPr>
        <w:snapToGrid/>
        <w:spacing w:line="259" w:lineRule="auto"/>
        <w:rPr>
          <w:rFonts w:ascii="Times New Roman" w:hAnsi="Times New Roman"/>
          <w:sz w:val="24"/>
          <w:szCs w:val="36"/>
        </w:rPr>
      </w:pPr>
      <w:r>
        <w:rPr>
          <w:rFonts w:ascii="Times New Roman" w:hAnsi="Times New Roman"/>
          <w:sz w:val="24"/>
          <w:szCs w:val="36"/>
        </w:rPr>
        <w:br w:type="page"/>
      </w:r>
    </w:p>
    <w:p w14:paraId="523A701F" w14:textId="26B06E30" w:rsidR="00A06777" w:rsidRPr="00BC34EE" w:rsidRDefault="00A06777" w:rsidP="00BC34EE">
      <w:pPr>
        <w:pStyle w:val="ListParagraph"/>
        <w:numPr>
          <w:ilvl w:val="0"/>
          <w:numId w:val="19"/>
        </w:numPr>
        <w:spacing w:line="360" w:lineRule="auto"/>
        <w:jc w:val="both"/>
        <w:rPr>
          <w:rFonts w:ascii="Times New Roman" w:hAnsi="Times New Roman"/>
          <w:b/>
          <w:bCs/>
          <w:sz w:val="24"/>
        </w:rPr>
      </w:pPr>
      <w:bookmarkStart w:id="0" w:name="_Hlk113516102"/>
      <w:r w:rsidRPr="00BC34EE">
        <w:rPr>
          <w:rFonts w:ascii="Times New Roman" w:hAnsi="Times New Roman"/>
          <w:b/>
          <w:bCs/>
          <w:sz w:val="24"/>
        </w:rPr>
        <w:lastRenderedPageBreak/>
        <w:t>Introduction</w:t>
      </w:r>
    </w:p>
    <w:bookmarkEnd w:id="0"/>
    <w:p w14:paraId="18DF8BAD" w14:textId="593EE680" w:rsidR="001D1DB8" w:rsidRDefault="001D1DB8" w:rsidP="001D1DB8">
      <w:pPr>
        <w:spacing w:line="360" w:lineRule="auto"/>
        <w:jc w:val="both"/>
        <w:rPr>
          <w:rFonts w:ascii="Times New Roman" w:hAnsi="Times New Roman"/>
          <w:sz w:val="24"/>
        </w:rPr>
      </w:pPr>
      <w:r w:rsidRPr="001D1DB8">
        <w:rPr>
          <w:rFonts w:ascii="Times New Roman" w:hAnsi="Times New Roman"/>
          <w:sz w:val="24"/>
        </w:rPr>
        <w:t xml:space="preserve">When the COVID pandemic </w:t>
      </w:r>
      <w:r w:rsidR="003C7C91">
        <w:rPr>
          <w:rFonts w:ascii="Times New Roman" w:hAnsi="Times New Roman"/>
          <w:sz w:val="24"/>
        </w:rPr>
        <w:t>went global</w:t>
      </w:r>
      <w:r w:rsidRPr="001D1DB8">
        <w:rPr>
          <w:rFonts w:ascii="Times New Roman" w:hAnsi="Times New Roman"/>
          <w:sz w:val="24"/>
        </w:rPr>
        <w:t xml:space="preserve"> in</w:t>
      </w:r>
      <w:r w:rsidR="003C7C91">
        <w:rPr>
          <w:rFonts w:ascii="Times New Roman" w:hAnsi="Times New Roman"/>
          <w:sz w:val="24"/>
        </w:rPr>
        <w:t xml:space="preserve"> March</w:t>
      </w:r>
      <w:r w:rsidRPr="001D1DB8">
        <w:rPr>
          <w:rFonts w:ascii="Times New Roman" w:hAnsi="Times New Roman"/>
          <w:sz w:val="24"/>
        </w:rPr>
        <w:t xml:space="preserve"> 2020, many central banks undertook unconventional monetary policies (UMPs). In advanced economies (AEs), central banks mostly embarked on asset purchases in secondary markets within the framework of quantitative easing.</w:t>
      </w:r>
      <w:r w:rsidR="00EE6B7C">
        <w:rPr>
          <w:rStyle w:val="FootnoteReference"/>
          <w:rFonts w:ascii="Times New Roman" w:hAnsi="Times New Roman"/>
        </w:rPr>
        <w:footnoteReference w:id="2"/>
      </w:r>
      <w:r w:rsidRPr="001D1DB8">
        <w:rPr>
          <w:rFonts w:ascii="Times New Roman" w:hAnsi="Times New Roman"/>
          <w:sz w:val="24"/>
        </w:rPr>
        <w:t xml:space="preserve"> However, in emerging markets and developing economies (EMDEs), </w:t>
      </w:r>
      <w:r w:rsidR="003D4D17">
        <w:rPr>
          <w:rFonts w:ascii="Times New Roman" w:hAnsi="Times New Roman"/>
          <w:sz w:val="24"/>
        </w:rPr>
        <w:t>some</w:t>
      </w:r>
      <w:r w:rsidRPr="001D1DB8">
        <w:rPr>
          <w:rFonts w:ascii="Times New Roman" w:hAnsi="Times New Roman"/>
          <w:sz w:val="24"/>
        </w:rPr>
        <w:t xml:space="preserve"> UMPs included components of direct government financing (DGF) through the purchase of government bonds in primary markets or the extension of loans </w:t>
      </w:r>
      <w:r w:rsidR="00C439F6">
        <w:rPr>
          <w:rFonts w:ascii="Times New Roman" w:hAnsi="Times New Roman"/>
          <w:sz w:val="24"/>
        </w:rPr>
        <w:t>or</w:t>
      </w:r>
      <w:r w:rsidRPr="001D1DB8">
        <w:rPr>
          <w:rFonts w:ascii="Times New Roman" w:hAnsi="Times New Roman"/>
          <w:sz w:val="24"/>
        </w:rPr>
        <w:t xml:space="preserve"> grants to the government. These operations were often motivated with the explicit goal to support fiscal authorities at </w:t>
      </w:r>
      <w:r w:rsidR="00381B79">
        <w:rPr>
          <w:rFonts w:ascii="Times New Roman" w:hAnsi="Times New Roman"/>
          <w:sz w:val="24"/>
        </w:rPr>
        <w:t xml:space="preserve">a </w:t>
      </w:r>
      <w:r w:rsidRPr="001D1DB8">
        <w:rPr>
          <w:rFonts w:ascii="Times New Roman" w:hAnsi="Times New Roman"/>
          <w:sz w:val="24"/>
        </w:rPr>
        <w:t>time of exceptional needs.</w:t>
      </w:r>
      <w:r w:rsidRPr="001D1DB8">
        <w:rPr>
          <w:rFonts w:ascii="Times New Roman" w:hAnsi="Times New Roman"/>
          <w:sz w:val="20"/>
          <w:vertAlign w:val="superscript"/>
        </w:rPr>
        <w:footnoteReference w:id="3"/>
      </w:r>
    </w:p>
    <w:p w14:paraId="4E534363" w14:textId="19BB20CD" w:rsidR="00A06777" w:rsidRDefault="00A06777" w:rsidP="001D1DB8">
      <w:pPr>
        <w:spacing w:line="360" w:lineRule="auto"/>
        <w:jc w:val="both"/>
        <w:rPr>
          <w:rFonts w:ascii="Times New Roman" w:hAnsi="Times New Roman"/>
          <w:sz w:val="24"/>
        </w:rPr>
      </w:pPr>
      <w:r w:rsidRPr="00A06777">
        <w:rPr>
          <w:rFonts w:ascii="Times New Roman" w:hAnsi="Times New Roman"/>
          <w:sz w:val="24"/>
        </w:rPr>
        <w:t>There is a long history of inflationary monetary financing initiatives in EMDEs. Did DGF programs with a fiscal intent immediately raise the specter of such monetary financing in the public’s eye? Or were these programs interpreted differently because they were aimed at alleviating a one-off shock rather than providing long-term financing to the government? This paper approaches this question by looking at the response of inflation expectations, which provides a real-time gauge of public perceptions.</w:t>
      </w:r>
      <w:r w:rsidRPr="00A06777">
        <w:rPr>
          <w:rFonts w:ascii="Times New Roman" w:hAnsi="Times New Roman"/>
          <w:sz w:val="24"/>
          <w:vertAlign w:val="superscript"/>
        </w:rPr>
        <w:footnoteReference w:id="4"/>
      </w:r>
    </w:p>
    <w:p w14:paraId="3F9A9E11" w14:textId="4A546559" w:rsidR="003F3D07" w:rsidRPr="00D02579" w:rsidRDefault="003F3D07" w:rsidP="003F3D07">
      <w:pPr>
        <w:pStyle w:val="ListParagraph"/>
        <w:numPr>
          <w:ilvl w:val="0"/>
          <w:numId w:val="19"/>
        </w:numPr>
        <w:spacing w:line="360" w:lineRule="auto"/>
        <w:jc w:val="both"/>
        <w:rPr>
          <w:rFonts w:ascii="Times New Roman" w:hAnsi="Times New Roman"/>
          <w:b/>
          <w:bCs/>
          <w:sz w:val="24"/>
        </w:rPr>
      </w:pPr>
      <w:r>
        <w:rPr>
          <w:rFonts w:ascii="Times New Roman" w:hAnsi="Times New Roman"/>
          <w:b/>
          <w:bCs/>
          <w:sz w:val="24"/>
        </w:rPr>
        <w:t>Data</w:t>
      </w:r>
    </w:p>
    <w:p w14:paraId="7CCA84E1" w14:textId="03465A2D" w:rsidR="001D1DB8" w:rsidRDefault="001D1DB8" w:rsidP="001D1DB8">
      <w:pPr>
        <w:spacing w:line="360" w:lineRule="auto"/>
        <w:jc w:val="both"/>
        <w:rPr>
          <w:rFonts w:ascii="Times New Roman" w:hAnsi="Times New Roman"/>
          <w:sz w:val="24"/>
        </w:rPr>
      </w:pPr>
      <w:r w:rsidRPr="001D1DB8">
        <w:rPr>
          <w:rFonts w:ascii="Times New Roman" w:hAnsi="Times New Roman"/>
          <w:sz w:val="24"/>
        </w:rPr>
        <w:t>Th</w:t>
      </w:r>
      <w:r w:rsidR="003D4D17">
        <w:rPr>
          <w:rFonts w:ascii="Times New Roman" w:hAnsi="Times New Roman"/>
          <w:sz w:val="24"/>
        </w:rPr>
        <w:t xml:space="preserve">e data collection encompasses </w:t>
      </w:r>
      <w:r w:rsidRPr="001D1DB8">
        <w:rPr>
          <w:rFonts w:ascii="Times New Roman" w:hAnsi="Times New Roman"/>
          <w:sz w:val="24"/>
        </w:rPr>
        <w:t>all UMPs conducted between March 2020 and December 2020 in 49 AEs and EMDEs, identifying a total of 15 DGF programs and 64 other UMP programs, which are portrayed in Figure 1.</w:t>
      </w:r>
      <w:r w:rsidRPr="001D1DB8">
        <w:rPr>
          <w:rFonts w:ascii="Times New Roman" w:hAnsi="Times New Roman"/>
          <w:sz w:val="24"/>
          <w:vertAlign w:val="superscript"/>
        </w:rPr>
        <w:footnoteReference w:id="5"/>
      </w:r>
      <w:r w:rsidRPr="001D1DB8">
        <w:rPr>
          <w:rFonts w:ascii="Times New Roman" w:hAnsi="Times New Roman"/>
          <w:sz w:val="24"/>
        </w:rPr>
        <w:t xml:space="preserve"> This data collection includes statements issued by central banks </w:t>
      </w:r>
      <w:r w:rsidR="00927D15">
        <w:rPr>
          <w:rFonts w:ascii="Times New Roman" w:hAnsi="Times New Roman"/>
          <w:sz w:val="24"/>
        </w:rPr>
        <w:t>when they</w:t>
      </w:r>
      <w:r w:rsidRPr="001D1DB8">
        <w:rPr>
          <w:rFonts w:ascii="Times New Roman" w:hAnsi="Times New Roman"/>
          <w:sz w:val="24"/>
        </w:rPr>
        <w:t xml:space="preserve"> announc</w:t>
      </w:r>
      <w:r w:rsidR="00927D15">
        <w:rPr>
          <w:rFonts w:ascii="Times New Roman" w:hAnsi="Times New Roman"/>
          <w:sz w:val="24"/>
        </w:rPr>
        <w:t>ed</w:t>
      </w:r>
      <w:r w:rsidRPr="001D1DB8">
        <w:rPr>
          <w:rFonts w:ascii="Times New Roman" w:hAnsi="Times New Roman"/>
          <w:sz w:val="24"/>
        </w:rPr>
        <w:t xml:space="preserve"> the programs:</w:t>
      </w:r>
      <w:r w:rsidRPr="001D1DB8">
        <w:t xml:space="preserve"> </w:t>
      </w:r>
      <w:r w:rsidRPr="001D1DB8">
        <w:rPr>
          <w:rFonts w:ascii="Times New Roman" w:hAnsi="Times New Roman"/>
          <w:sz w:val="24"/>
        </w:rPr>
        <w:t xml:space="preserve">all DGF programs in EMDEs were associated with central </w:t>
      </w:r>
      <w:r w:rsidRPr="001D1DB8">
        <w:rPr>
          <w:rFonts w:ascii="Times New Roman" w:hAnsi="Times New Roman"/>
          <w:sz w:val="24"/>
        </w:rPr>
        <w:lastRenderedPageBreak/>
        <w:t xml:space="preserve">bank statements recognizing a fiscal intent upon </w:t>
      </w:r>
      <w:r w:rsidR="009A60E5">
        <w:rPr>
          <w:rFonts w:ascii="Times New Roman" w:hAnsi="Times New Roman"/>
          <w:sz w:val="24"/>
        </w:rPr>
        <w:t xml:space="preserve">program </w:t>
      </w:r>
      <w:r w:rsidRPr="001D1DB8">
        <w:rPr>
          <w:rFonts w:ascii="Times New Roman" w:hAnsi="Times New Roman"/>
          <w:sz w:val="24"/>
        </w:rPr>
        <w:t>announcement, while none of the UMPs conducted on secondary markets had a stated fiscal intent.</w:t>
      </w:r>
    </w:p>
    <w:p w14:paraId="2B6B47F9" w14:textId="4B141B72" w:rsidR="00F423E7" w:rsidRDefault="003C7C91" w:rsidP="00F423E7">
      <w:pPr>
        <w:spacing w:line="360" w:lineRule="auto"/>
        <w:jc w:val="both"/>
        <w:rPr>
          <w:rFonts w:ascii="Times New Roman" w:hAnsi="Times New Roman"/>
          <w:sz w:val="24"/>
        </w:rPr>
      </w:pPr>
      <w:r w:rsidRPr="003C7C91">
        <w:rPr>
          <w:rFonts w:ascii="Times New Roman" w:hAnsi="Times New Roman"/>
          <w:sz w:val="24"/>
        </w:rPr>
        <w:t>Data on (end-of-period) inflation expectations is sourced from Consensus Economics where available (monthly data for 31 countries) and IMF WEO forecast vintages elsewhere (quarterly data for 18 countries).</w:t>
      </w:r>
      <w:r w:rsidR="00863F07">
        <w:rPr>
          <w:rStyle w:val="FootnoteReference"/>
          <w:rFonts w:ascii="Times New Roman" w:hAnsi="Times New Roman"/>
        </w:rPr>
        <w:footnoteReference w:id="6"/>
      </w:r>
    </w:p>
    <w:p w14:paraId="4BD48760" w14:textId="479A053B" w:rsidR="003F3D07" w:rsidRPr="00D02579" w:rsidRDefault="003F3D07" w:rsidP="003F3D07">
      <w:pPr>
        <w:pStyle w:val="ListParagraph"/>
        <w:numPr>
          <w:ilvl w:val="0"/>
          <w:numId w:val="19"/>
        </w:numPr>
        <w:spacing w:line="360" w:lineRule="auto"/>
        <w:jc w:val="both"/>
        <w:rPr>
          <w:rFonts w:ascii="Times New Roman" w:hAnsi="Times New Roman"/>
          <w:b/>
          <w:bCs/>
          <w:sz w:val="24"/>
        </w:rPr>
      </w:pPr>
      <w:r>
        <w:rPr>
          <w:rFonts w:ascii="Times New Roman" w:hAnsi="Times New Roman"/>
          <w:b/>
          <w:bCs/>
          <w:sz w:val="24"/>
        </w:rPr>
        <w:t>Empirical analyses</w:t>
      </w:r>
    </w:p>
    <w:p w14:paraId="64CEC086" w14:textId="2B339EF2" w:rsidR="003C7C91" w:rsidRDefault="003C7C91" w:rsidP="00F423E7">
      <w:pPr>
        <w:spacing w:line="360" w:lineRule="auto"/>
        <w:jc w:val="both"/>
        <w:rPr>
          <w:rFonts w:ascii="Times New Roman" w:hAnsi="Times New Roman"/>
          <w:sz w:val="24"/>
        </w:rPr>
      </w:pPr>
      <w:r>
        <w:rPr>
          <w:rFonts w:ascii="Times New Roman" w:hAnsi="Times New Roman"/>
          <w:sz w:val="24"/>
        </w:rPr>
        <w:t xml:space="preserve">We conduct two empirical exercises. The first is a cross-section analysis for </w:t>
      </w:r>
      <w:r w:rsidRPr="003C7C91">
        <w:rPr>
          <w:rFonts w:ascii="Times New Roman" w:hAnsi="Times New Roman"/>
          <w:sz w:val="24"/>
        </w:rPr>
        <w:t>all countries in the sam</w:t>
      </w:r>
      <w:r>
        <w:rPr>
          <w:rFonts w:ascii="Times New Roman" w:hAnsi="Times New Roman"/>
          <w:sz w:val="24"/>
        </w:rPr>
        <w:t>ple, wherein programs are differentiated by their size (% of GDP) and type (DGF or not).</w:t>
      </w:r>
      <w:r w:rsidR="00C720DC">
        <w:rPr>
          <w:rFonts w:ascii="Times New Roman" w:hAnsi="Times New Roman"/>
          <w:sz w:val="24"/>
        </w:rPr>
        <w:t xml:space="preserve"> </w:t>
      </w:r>
      <w:r>
        <w:rPr>
          <w:rFonts w:ascii="Times New Roman" w:hAnsi="Times New Roman"/>
          <w:sz w:val="24"/>
        </w:rPr>
        <w:t xml:space="preserve">The second </w:t>
      </w:r>
      <w:r w:rsidR="00C720DC">
        <w:rPr>
          <w:rFonts w:ascii="Times New Roman" w:hAnsi="Times New Roman"/>
          <w:sz w:val="24"/>
        </w:rPr>
        <w:t xml:space="preserve">exercise </w:t>
      </w:r>
      <w:r>
        <w:rPr>
          <w:rFonts w:ascii="Times New Roman" w:hAnsi="Times New Roman"/>
          <w:sz w:val="24"/>
        </w:rPr>
        <w:t xml:space="preserve">is a panel data analysis for the monthly data subsample, where </w:t>
      </w:r>
      <w:r w:rsidR="009A33F2">
        <w:rPr>
          <w:rFonts w:ascii="Times New Roman" w:hAnsi="Times New Roman"/>
          <w:sz w:val="24"/>
        </w:rPr>
        <w:t xml:space="preserve">time </w:t>
      </w:r>
      <w:r w:rsidRPr="003C7C91">
        <w:rPr>
          <w:rFonts w:ascii="Times New Roman" w:hAnsi="Times New Roman"/>
          <w:sz w:val="24"/>
        </w:rPr>
        <w:t xml:space="preserve">fixed effects </w:t>
      </w:r>
      <w:r w:rsidR="00927D15">
        <w:rPr>
          <w:rFonts w:ascii="Times New Roman" w:hAnsi="Times New Roman"/>
          <w:sz w:val="24"/>
        </w:rPr>
        <w:t xml:space="preserve">capture </w:t>
      </w:r>
      <w:r w:rsidR="00CC446A">
        <w:rPr>
          <w:rFonts w:ascii="Times New Roman" w:hAnsi="Times New Roman"/>
          <w:sz w:val="24"/>
        </w:rPr>
        <w:t>developments that were common around the world</w:t>
      </w:r>
      <w:r w:rsidR="00927D15">
        <w:rPr>
          <w:rFonts w:ascii="Times New Roman" w:hAnsi="Times New Roman"/>
          <w:sz w:val="24"/>
        </w:rPr>
        <w:t xml:space="preserve">, such as </w:t>
      </w:r>
      <w:r>
        <w:rPr>
          <w:rFonts w:ascii="Times New Roman" w:hAnsi="Times New Roman"/>
          <w:sz w:val="24"/>
        </w:rPr>
        <w:t xml:space="preserve">the steep </w:t>
      </w:r>
      <w:r w:rsidR="00CC446A">
        <w:rPr>
          <w:rFonts w:ascii="Times New Roman" w:hAnsi="Times New Roman"/>
          <w:sz w:val="24"/>
        </w:rPr>
        <w:t>decline of</w:t>
      </w:r>
      <w:r>
        <w:rPr>
          <w:rFonts w:ascii="Times New Roman" w:hAnsi="Times New Roman"/>
          <w:sz w:val="24"/>
        </w:rPr>
        <w:t xml:space="preserve"> inflation expectations </w:t>
      </w:r>
      <w:r w:rsidRPr="003C7C91">
        <w:rPr>
          <w:rFonts w:ascii="Times New Roman" w:hAnsi="Times New Roman"/>
          <w:sz w:val="24"/>
        </w:rPr>
        <w:t>in April 2020</w:t>
      </w:r>
      <w:r>
        <w:rPr>
          <w:rFonts w:ascii="Times New Roman" w:hAnsi="Times New Roman"/>
          <w:sz w:val="24"/>
        </w:rPr>
        <w:t>.</w:t>
      </w:r>
    </w:p>
    <w:p w14:paraId="4AD8E3F6" w14:textId="7EEA895F" w:rsidR="00400A51" w:rsidRDefault="003C7C91" w:rsidP="001D1DB8">
      <w:pPr>
        <w:spacing w:line="360" w:lineRule="auto"/>
        <w:jc w:val="both"/>
        <w:rPr>
          <w:rFonts w:ascii="Times New Roman" w:hAnsi="Times New Roman"/>
          <w:sz w:val="24"/>
        </w:rPr>
      </w:pPr>
      <w:r>
        <w:rPr>
          <w:rFonts w:ascii="Times New Roman" w:hAnsi="Times New Roman"/>
          <w:sz w:val="24"/>
        </w:rPr>
        <w:t>Table 1</w:t>
      </w:r>
      <w:r w:rsidR="00D03053">
        <w:rPr>
          <w:rFonts w:ascii="Times New Roman" w:hAnsi="Times New Roman"/>
          <w:sz w:val="24"/>
        </w:rPr>
        <w:t xml:space="preserve"> </w:t>
      </w:r>
      <w:r w:rsidR="001D1DB8" w:rsidRPr="001D1DB8">
        <w:rPr>
          <w:rFonts w:ascii="Times New Roman" w:hAnsi="Times New Roman"/>
          <w:sz w:val="24"/>
        </w:rPr>
        <w:t xml:space="preserve">presents the cross-section </w:t>
      </w:r>
      <w:r w:rsidR="00D03053">
        <w:rPr>
          <w:rFonts w:ascii="Times New Roman" w:hAnsi="Times New Roman"/>
          <w:sz w:val="24"/>
        </w:rPr>
        <w:t>analys</w:t>
      </w:r>
      <w:r w:rsidR="00173D4F">
        <w:rPr>
          <w:rFonts w:ascii="Times New Roman" w:hAnsi="Times New Roman"/>
          <w:sz w:val="24"/>
        </w:rPr>
        <w:t>i</w:t>
      </w:r>
      <w:r w:rsidR="00D03053">
        <w:rPr>
          <w:rFonts w:ascii="Times New Roman" w:hAnsi="Times New Roman"/>
          <w:sz w:val="24"/>
        </w:rPr>
        <w:t>s</w:t>
      </w:r>
      <w:r w:rsidR="001D1DB8" w:rsidRPr="001D1DB8">
        <w:rPr>
          <w:rFonts w:ascii="Times New Roman" w:hAnsi="Times New Roman"/>
          <w:sz w:val="24"/>
        </w:rPr>
        <w:t xml:space="preserve">. </w:t>
      </w:r>
      <w:r w:rsidR="00D03053">
        <w:rPr>
          <w:rFonts w:ascii="Times New Roman" w:hAnsi="Times New Roman"/>
          <w:sz w:val="24"/>
        </w:rPr>
        <w:t>The first specification is considered the baseline.</w:t>
      </w:r>
      <w:r w:rsidR="000665B3">
        <w:rPr>
          <w:rStyle w:val="FootnoteReference"/>
          <w:rFonts w:ascii="Times New Roman" w:hAnsi="Times New Roman"/>
        </w:rPr>
        <w:footnoteReference w:id="7"/>
      </w:r>
      <w:r w:rsidR="00D03053">
        <w:rPr>
          <w:rFonts w:ascii="Times New Roman" w:hAnsi="Times New Roman"/>
          <w:sz w:val="24"/>
        </w:rPr>
        <w:t xml:space="preserve"> </w:t>
      </w:r>
      <w:r w:rsidR="001D1DB8" w:rsidRPr="001D1DB8">
        <w:rPr>
          <w:rFonts w:ascii="Times New Roman" w:hAnsi="Times New Roman"/>
          <w:sz w:val="24"/>
        </w:rPr>
        <w:t>The dependent variable is the 2020 inflation forecast that is collected in the first survey after the central bank</w:t>
      </w:r>
      <w:r w:rsidR="00381B79">
        <w:rPr>
          <w:rFonts w:ascii="Times New Roman" w:hAnsi="Times New Roman"/>
          <w:sz w:val="24"/>
        </w:rPr>
        <w:t>’s</w:t>
      </w:r>
      <w:r w:rsidR="001D1DB8" w:rsidRPr="001D1DB8">
        <w:rPr>
          <w:rFonts w:ascii="Times New Roman" w:hAnsi="Times New Roman"/>
          <w:sz w:val="24"/>
        </w:rPr>
        <w:t xml:space="preserve"> UMP announcement. </w:t>
      </w:r>
      <w:r w:rsidR="00500FA2">
        <w:rPr>
          <w:rFonts w:ascii="Times New Roman" w:hAnsi="Times New Roman"/>
          <w:sz w:val="24"/>
        </w:rPr>
        <w:t xml:space="preserve">In addition to the </w:t>
      </w:r>
      <w:r w:rsidR="00500FA2" w:rsidRPr="00500FA2">
        <w:rPr>
          <w:rFonts w:ascii="Times New Roman" w:hAnsi="Times New Roman"/>
          <w:sz w:val="24"/>
        </w:rPr>
        <w:t>size of the UMP program</w:t>
      </w:r>
      <w:r w:rsidR="00500FA2">
        <w:rPr>
          <w:rFonts w:ascii="Times New Roman" w:hAnsi="Times New Roman"/>
          <w:sz w:val="24"/>
        </w:rPr>
        <w:t xml:space="preserve"> and the</w:t>
      </w:r>
      <w:r w:rsidR="00500FA2" w:rsidRPr="00500FA2">
        <w:rPr>
          <w:rFonts w:ascii="Times New Roman" w:hAnsi="Times New Roman"/>
          <w:sz w:val="24"/>
        </w:rPr>
        <w:t xml:space="preserve"> dummy for DGF programs</w:t>
      </w:r>
      <w:r w:rsidR="00500FA2">
        <w:rPr>
          <w:rFonts w:ascii="Times New Roman" w:hAnsi="Times New Roman"/>
          <w:sz w:val="24"/>
        </w:rPr>
        <w:t xml:space="preserve">, </w:t>
      </w:r>
      <w:r w:rsidR="00381B79">
        <w:rPr>
          <w:rFonts w:ascii="Times New Roman" w:hAnsi="Times New Roman"/>
          <w:sz w:val="24"/>
        </w:rPr>
        <w:t>several</w:t>
      </w:r>
      <w:r w:rsidR="00500FA2">
        <w:rPr>
          <w:rFonts w:ascii="Times New Roman" w:hAnsi="Times New Roman"/>
          <w:sz w:val="24"/>
        </w:rPr>
        <w:t xml:space="preserve"> </w:t>
      </w:r>
      <w:r w:rsidR="00F340BA">
        <w:rPr>
          <w:rFonts w:ascii="Times New Roman" w:hAnsi="Times New Roman"/>
          <w:sz w:val="24"/>
        </w:rPr>
        <w:t>control</w:t>
      </w:r>
      <w:r w:rsidR="001D1DB8" w:rsidRPr="001D1DB8">
        <w:rPr>
          <w:rFonts w:ascii="Times New Roman" w:hAnsi="Times New Roman"/>
          <w:sz w:val="24"/>
        </w:rPr>
        <w:t xml:space="preserve"> variables</w:t>
      </w:r>
      <w:r w:rsidR="00381B79">
        <w:rPr>
          <w:rFonts w:ascii="Times New Roman" w:hAnsi="Times New Roman"/>
          <w:sz w:val="24"/>
        </w:rPr>
        <w:t xml:space="preserve"> are included:</w:t>
      </w:r>
      <w:r w:rsidR="001D1DB8" w:rsidRPr="001D1DB8">
        <w:rPr>
          <w:rFonts w:ascii="Times New Roman" w:hAnsi="Times New Roman"/>
          <w:sz w:val="24"/>
        </w:rPr>
        <w:t xml:space="preserve"> the la</w:t>
      </w:r>
      <w:r w:rsidR="003D4D17">
        <w:rPr>
          <w:rFonts w:ascii="Times New Roman" w:hAnsi="Times New Roman"/>
          <w:sz w:val="24"/>
        </w:rPr>
        <w:t>st</w:t>
      </w:r>
      <w:r w:rsidR="001D1DB8" w:rsidRPr="001D1DB8">
        <w:rPr>
          <w:rFonts w:ascii="Times New Roman" w:hAnsi="Times New Roman"/>
          <w:sz w:val="24"/>
        </w:rPr>
        <w:t xml:space="preserve"> inflation forecast before the announcement</w:t>
      </w:r>
      <w:r w:rsidR="00400A51">
        <w:rPr>
          <w:rFonts w:ascii="Times New Roman" w:hAnsi="Times New Roman"/>
          <w:sz w:val="24"/>
        </w:rPr>
        <w:t xml:space="preserve"> (which captures inflation persistence)</w:t>
      </w:r>
      <w:r w:rsidR="001D1DB8" w:rsidRPr="001D1DB8">
        <w:rPr>
          <w:rFonts w:ascii="Times New Roman" w:hAnsi="Times New Roman"/>
          <w:sz w:val="24"/>
        </w:rPr>
        <w:t>, the country’s average inflation over the past ten years</w:t>
      </w:r>
      <w:r w:rsidR="00400A51">
        <w:rPr>
          <w:rFonts w:ascii="Times New Roman" w:hAnsi="Times New Roman"/>
          <w:sz w:val="24"/>
        </w:rPr>
        <w:t xml:space="preserve"> (which relates to its </w:t>
      </w:r>
      <w:r w:rsidR="00400A51" w:rsidRPr="00400A51">
        <w:rPr>
          <w:rFonts w:ascii="Times New Roman" w:hAnsi="Times New Roman"/>
          <w:i/>
          <w:iCs/>
          <w:sz w:val="24"/>
        </w:rPr>
        <w:t>de facto</w:t>
      </w:r>
      <w:r w:rsidR="00400A51">
        <w:rPr>
          <w:rFonts w:ascii="Times New Roman" w:hAnsi="Times New Roman"/>
          <w:sz w:val="24"/>
        </w:rPr>
        <w:t xml:space="preserve"> monetary credibility)</w:t>
      </w:r>
      <w:r w:rsidR="001D1DB8" w:rsidRPr="001D1DB8">
        <w:rPr>
          <w:rFonts w:ascii="Times New Roman" w:hAnsi="Times New Roman"/>
          <w:sz w:val="24"/>
        </w:rPr>
        <w:t xml:space="preserve">, </w:t>
      </w:r>
      <w:r w:rsidR="00B56CA1">
        <w:rPr>
          <w:rFonts w:ascii="Times New Roman" w:hAnsi="Times New Roman"/>
          <w:sz w:val="24"/>
        </w:rPr>
        <w:t xml:space="preserve">and </w:t>
      </w:r>
      <w:r w:rsidR="00500FA2">
        <w:rPr>
          <w:rFonts w:ascii="Times New Roman" w:hAnsi="Times New Roman"/>
          <w:sz w:val="24"/>
        </w:rPr>
        <w:t>t</w:t>
      </w:r>
      <w:r w:rsidR="001D1DB8" w:rsidRPr="001D1DB8">
        <w:rPr>
          <w:rFonts w:ascii="Times New Roman" w:hAnsi="Times New Roman"/>
          <w:sz w:val="24"/>
        </w:rPr>
        <w:t>he real-time forecast of the 2020 fiscal deficit at the time of the announcement</w:t>
      </w:r>
      <w:r w:rsidR="00400A51">
        <w:rPr>
          <w:rFonts w:ascii="Times New Roman" w:hAnsi="Times New Roman"/>
          <w:sz w:val="24"/>
        </w:rPr>
        <w:t xml:space="preserve"> (which </w:t>
      </w:r>
      <w:r w:rsidR="00F340BA">
        <w:rPr>
          <w:rFonts w:ascii="Times New Roman" w:hAnsi="Times New Roman"/>
          <w:sz w:val="24"/>
        </w:rPr>
        <w:t>represents</w:t>
      </w:r>
      <w:r w:rsidR="00400A51">
        <w:rPr>
          <w:rFonts w:ascii="Times New Roman" w:hAnsi="Times New Roman"/>
          <w:sz w:val="24"/>
        </w:rPr>
        <w:t xml:space="preserve"> the extent of the country’s fiscal needs)</w:t>
      </w:r>
      <w:r w:rsidR="001D1DB8" w:rsidRPr="001D1DB8">
        <w:rPr>
          <w:rFonts w:ascii="Times New Roman" w:hAnsi="Times New Roman"/>
          <w:sz w:val="24"/>
        </w:rPr>
        <w:t>.</w:t>
      </w:r>
      <w:r w:rsidR="00B56CA1">
        <w:rPr>
          <w:rStyle w:val="FootnoteReference"/>
          <w:rFonts w:ascii="Times New Roman" w:hAnsi="Times New Roman"/>
        </w:rPr>
        <w:footnoteReference w:id="8"/>
      </w:r>
      <w:r w:rsidR="001D1DB8" w:rsidRPr="001D1DB8">
        <w:rPr>
          <w:rFonts w:ascii="Times New Roman" w:hAnsi="Times New Roman"/>
          <w:sz w:val="24"/>
        </w:rPr>
        <w:t xml:space="preserve"> </w:t>
      </w:r>
      <w:r w:rsidR="001F1D17" w:rsidRPr="001F1D17">
        <w:rPr>
          <w:rFonts w:ascii="Times New Roman" w:hAnsi="Times New Roman"/>
          <w:sz w:val="24"/>
        </w:rPr>
        <w:t xml:space="preserve">The </w:t>
      </w:r>
      <w:r w:rsidR="001F1D17">
        <w:rPr>
          <w:rFonts w:ascii="Times New Roman" w:hAnsi="Times New Roman"/>
          <w:sz w:val="24"/>
        </w:rPr>
        <w:t xml:space="preserve">baseline </w:t>
      </w:r>
      <w:r w:rsidR="001F1D17" w:rsidRPr="001F1D17">
        <w:rPr>
          <w:rFonts w:ascii="Times New Roman" w:hAnsi="Times New Roman"/>
          <w:sz w:val="24"/>
        </w:rPr>
        <w:t xml:space="preserve">cross-section analysis finds no statistically significant effects associated with </w:t>
      </w:r>
      <w:r w:rsidR="002811A1">
        <w:rPr>
          <w:rFonts w:ascii="Times New Roman" w:hAnsi="Times New Roman"/>
          <w:sz w:val="24"/>
        </w:rPr>
        <w:t xml:space="preserve">either UMP programs in general or </w:t>
      </w:r>
      <w:r w:rsidR="001F1D17" w:rsidRPr="001F1D17">
        <w:rPr>
          <w:rFonts w:ascii="Times New Roman" w:hAnsi="Times New Roman"/>
          <w:sz w:val="24"/>
        </w:rPr>
        <w:t>DGF programs</w:t>
      </w:r>
      <w:r w:rsidR="002811A1">
        <w:rPr>
          <w:rFonts w:ascii="Times New Roman" w:hAnsi="Times New Roman"/>
          <w:sz w:val="24"/>
        </w:rPr>
        <w:t xml:space="preserve"> specifically</w:t>
      </w:r>
      <w:r w:rsidR="001F1D17" w:rsidRPr="001F1D17">
        <w:rPr>
          <w:rFonts w:ascii="Times New Roman" w:hAnsi="Times New Roman"/>
          <w:sz w:val="24"/>
        </w:rPr>
        <w:t>.</w:t>
      </w:r>
    </w:p>
    <w:p w14:paraId="2A955CE0" w14:textId="1CC4F69E" w:rsidR="00D03053" w:rsidRDefault="00400A51" w:rsidP="001D1DB8">
      <w:pPr>
        <w:spacing w:line="360" w:lineRule="auto"/>
        <w:jc w:val="both"/>
        <w:rPr>
          <w:rFonts w:ascii="Times New Roman" w:hAnsi="Times New Roman"/>
          <w:sz w:val="24"/>
        </w:rPr>
      </w:pPr>
      <w:r>
        <w:rPr>
          <w:rFonts w:ascii="Times New Roman" w:hAnsi="Times New Roman"/>
          <w:sz w:val="24"/>
        </w:rPr>
        <w:t>Specifications 2-23 add a host of robustness checks.</w:t>
      </w:r>
      <w:r w:rsidR="001F1D17">
        <w:rPr>
          <w:rFonts w:ascii="Times New Roman" w:hAnsi="Times New Roman"/>
          <w:sz w:val="24"/>
        </w:rPr>
        <w:t xml:space="preserve"> From these robustness checks there</w:t>
      </w:r>
      <w:r w:rsidR="001F1D17" w:rsidRPr="001F1D17">
        <w:rPr>
          <w:rFonts w:ascii="Times New Roman" w:hAnsi="Times New Roman"/>
          <w:sz w:val="24"/>
        </w:rPr>
        <w:t xml:space="preserve"> is also little evidence that </w:t>
      </w:r>
      <w:r w:rsidR="002811A1">
        <w:rPr>
          <w:rFonts w:ascii="Times New Roman" w:hAnsi="Times New Roman"/>
          <w:sz w:val="24"/>
        </w:rPr>
        <w:t>the</w:t>
      </w:r>
      <w:r w:rsidR="001F1D17" w:rsidRPr="001F1D17">
        <w:rPr>
          <w:rFonts w:ascii="Times New Roman" w:hAnsi="Times New Roman"/>
          <w:sz w:val="24"/>
        </w:rPr>
        <w:t xml:space="preserve"> </w:t>
      </w:r>
      <w:r w:rsidR="002811A1">
        <w:rPr>
          <w:rFonts w:ascii="Times New Roman" w:hAnsi="Times New Roman"/>
          <w:sz w:val="24"/>
        </w:rPr>
        <w:t xml:space="preserve">programs </w:t>
      </w:r>
      <w:r w:rsidR="001F1D17" w:rsidRPr="001F1D17">
        <w:rPr>
          <w:rFonts w:ascii="Times New Roman" w:hAnsi="Times New Roman"/>
          <w:sz w:val="24"/>
        </w:rPr>
        <w:t xml:space="preserve">affected inflation expectations, as the UMP size variable is </w:t>
      </w:r>
      <w:r w:rsidR="001F1D17" w:rsidRPr="001F1D17">
        <w:rPr>
          <w:rFonts w:ascii="Times New Roman" w:hAnsi="Times New Roman"/>
          <w:sz w:val="24"/>
        </w:rPr>
        <w:lastRenderedPageBreak/>
        <w:t>insignificant in 21 out of 23 specifications</w:t>
      </w:r>
      <w:r w:rsidR="002811A1">
        <w:rPr>
          <w:rFonts w:ascii="Times New Roman" w:hAnsi="Times New Roman"/>
          <w:sz w:val="24"/>
        </w:rPr>
        <w:t xml:space="preserve"> and the DGF dummy never attains statistical significance</w:t>
      </w:r>
      <w:r w:rsidR="001F1D17" w:rsidRPr="001F1D17">
        <w:rPr>
          <w:rFonts w:ascii="Times New Roman" w:hAnsi="Times New Roman"/>
          <w:sz w:val="24"/>
        </w:rPr>
        <w:t>.</w:t>
      </w:r>
      <w:r w:rsidR="001F1D17">
        <w:rPr>
          <w:rFonts w:ascii="Times New Roman" w:hAnsi="Times New Roman"/>
          <w:sz w:val="24"/>
        </w:rPr>
        <w:t xml:space="preserve"> In particular, s</w:t>
      </w:r>
      <w:r w:rsidR="00D03053" w:rsidRPr="00D03053">
        <w:rPr>
          <w:rFonts w:ascii="Times New Roman" w:hAnsi="Times New Roman"/>
          <w:sz w:val="24"/>
        </w:rPr>
        <w:t xml:space="preserve">pecifications 2-7 bring in an interaction between the program type and its size, alternative real-time measures of countries’ fiscal positions (debt levels and structural and cyclically adjusted deficits), the output gap, and a measure of central bank transparency from </w:t>
      </w:r>
      <w:proofErr w:type="spellStart"/>
      <w:r w:rsidR="00D03053" w:rsidRPr="00D03053">
        <w:rPr>
          <w:rFonts w:ascii="Times New Roman" w:hAnsi="Times New Roman"/>
          <w:sz w:val="24"/>
        </w:rPr>
        <w:t>Dincer</w:t>
      </w:r>
      <w:proofErr w:type="spellEnd"/>
      <w:r w:rsidR="00D03053" w:rsidRPr="00D03053">
        <w:rPr>
          <w:rFonts w:ascii="Times New Roman" w:hAnsi="Times New Roman"/>
          <w:sz w:val="24"/>
        </w:rPr>
        <w:t xml:space="preserve"> et al. (2022).</w:t>
      </w:r>
      <w:r w:rsidR="00D03053" w:rsidRPr="00D03053">
        <w:rPr>
          <w:rFonts w:ascii="Times New Roman" w:hAnsi="Times New Roman"/>
          <w:sz w:val="24"/>
          <w:vertAlign w:val="superscript"/>
        </w:rPr>
        <w:footnoteReference w:id="9"/>
      </w:r>
      <w:r w:rsidR="00D03053">
        <w:rPr>
          <w:rFonts w:ascii="Times New Roman" w:hAnsi="Times New Roman"/>
          <w:sz w:val="24"/>
        </w:rPr>
        <w:t xml:space="preserve"> Specifications 8-9 </w:t>
      </w:r>
      <w:r w:rsidR="00D03053" w:rsidRPr="00D03053">
        <w:rPr>
          <w:rFonts w:ascii="Times New Roman" w:hAnsi="Times New Roman"/>
          <w:sz w:val="24"/>
        </w:rPr>
        <w:t xml:space="preserve">consider sterilization efforts by central banks. </w:t>
      </w:r>
      <w:r w:rsidR="002811A1">
        <w:rPr>
          <w:rFonts w:ascii="Times New Roman" w:hAnsi="Times New Roman"/>
          <w:sz w:val="24"/>
        </w:rPr>
        <w:t>T</w:t>
      </w:r>
      <w:r w:rsidR="00D03053" w:rsidRPr="00D03053">
        <w:rPr>
          <w:rFonts w:ascii="Times New Roman" w:hAnsi="Times New Roman"/>
          <w:sz w:val="24"/>
        </w:rPr>
        <w:t>he size of announced UMPs bears a strong relation to observed monetary base increases during 2020 (the correlation coefficient is 0.71). Nevertheless, in some countries efforts to sterilize UMPs, such as through the issuance of central bank bills, may have partially unwound the</w:t>
      </w:r>
      <w:r>
        <w:rPr>
          <w:rFonts w:ascii="Times New Roman" w:hAnsi="Times New Roman"/>
          <w:sz w:val="24"/>
        </w:rPr>
        <w:t>ir</w:t>
      </w:r>
      <w:r w:rsidR="00D03053" w:rsidRPr="00D03053">
        <w:rPr>
          <w:rFonts w:ascii="Times New Roman" w:hAnsi="Times New Roman"/>
          <w:sz w:val="24"/>
        </w:rPr>
        <w:t xml:space="preserve"> impact on the monetary base. </w:t>
      </w:r>
      <w:r w:rsidR="00D03053">
        <w:rPr>
          <w:rFonts w:ascii="Times New Roman" w:hAnsi="Times New Roman"/>
          <w:sz w:val="24"/>
        </w:rPr>
        <w:t>S</w:t>
      </w:r>
      <w:r w:rsidR="00D03053" w:rsidRPr="00D03053">
        <w:rPr>
          <w:rFonts w:ascii="Times New Roman" w:hAnsi="Times New Roman"/>
          <w:sz w:val="24"/>
        </w:rPr>
        <w:t xml:space="preserve">pecification </w:t>
      </w:r>
      <w:r w:rsidR="00D03053">
        <w:rPr>
          <w:rFonts w:ascii="Times New Roman" w:hAnsi="Times New Roman"/>
          <w:sz w:val="24"/>
        </w:rPr>
        <w:t>8</w:t>
      </w:r>
      <w:r w:rsidR="00D03053" w:rsidRPr="00D03053">
        <w:rPr>
          <w:rFonts w:ascii="Times New Roman" w:hAnsi="Times New Roman"/>
          <w:sz w:val="24"/>
        </w:rPr>
        <w:t xml:space="preserve"> includes as an explanatory variable the change in the monetary base divided by the total size of announced UMPs (per country; during all of 2020), as well as the interaction between this new variable and the DGF dummy; instead, specification </w:t>
      </w:r>
      <w:r w:rsidR="00D03053">
        <w:rPr>
          <w:rFonts w:ascii="Times New Roman" w:hAnsi="Times New Roman"/>
          <w:sz w:val="24"/>
        </w:rPr>
        <w:t>9</w:t>
      </w:r>
      <w:r w:rsidR="00D03053" w:rsidRPr="00D03053">
        <w:rPr>
          <w:rFonts w:ascii="Times New Roman" w:hAnsi="Times New Roman"/>
          <w:sz w:val="24"/>
        </w:rPr>
        <w:t xml:space="preserve"> trims the sample and includes only UMP cases with little sterilization, where the monetary base increased by at least half of the announced size of UMP programs.</w:t>
      </w:r>
      <w:r w:rsidR="00D03053">
        <w:rPr>
          <w:rFonts w:ascii="Times New Roman" w:hAnsi="Times New Roman"/>
          <w:sz w:val="24"/>
        </w:rPr>
        <w:t xml:space="preserve"> Specifications 10-23 </w:t>
      </w:r>
      <w:r w:rsidR="00D03053" w:rsidRPr="00D03053">
        <w:rPr>
          <w:rFonts w:ascii="Times New Roman" w:hAnsi="Times New Roman"/>
          <w:sz w:val="24"/>
        </w:rPr>
        <w:t>consider alternative dependent variables</w:t>
      </w:r>
      <w:r w:rsidR="00BA3651">
        <w:rPr>
          <w:rFonts w:ascii="Times New Roman" w:hAnsi="Times New Roman"/>
          <w:sz w:val="24"/>
        </w:rPr>
        <w:t>:</w:t>
      </w:r>
      <w:r w:rsidR="00D03053">
        <w:rPr>
          <w:rFonts w:ascii="Times New Roman" w:hAnsi="Times New Roman"/>
          <w:sz w:val="24"/>
        </w:rPr>
        <w:t xml:space="preserve"> </w:t>
      </w:r>
      <w:r w:rsidR="008D30E8" w:rsidRPr="008D30E8">
        <w:rPr>
          <w:rFonts w:ascii="Times New Roman" w:hAnsi="Times New Roman"/>
          <w:sz w:val="24"/>
        </w:rPr>
        <w:t>inflation expectations for 2021 (rather than 2020) collected in the first survey after the announcements</w:t>
      </w:r>
      <w:r w:rsidR="008D30E8">
        <w:rPr>
          <w:rFonts w:ascii="Times New Roman" w:hAnsi="Times New Roman"/>
          <w:sz w:val="24"/>
        </w:rPr>
        <w:t xml:space="preserve"> </w:t>
      </w:r>
      <w:r w:rsidR="00544FF2">
        <w:rPr>
          <w:rFonts w:ascii="Times New Roman" w:hAnsi="Times New Roman"/>
          <w:sz w:val="24"/>
        </w:rPr>
        <w:t>(</w:t>
      </w:r>
      <w:r w:rsidR="00381B79">
        <w:rPr>
          <w:rFonts w:ascii="Times New Roman" w:hAnsi="Times New Roman"/>
          <w:sz w:val="24"/>
        </w:rPr>
        <w:t xml:space="preserve">in </w:t>
      </w:r>
      <w:r w:rsidR="00544FF2">
        <w:rPr>
          <w:rFonts w:ascii="Times New Roman" w:hAnsi="Times New Roman"/>
          <w:sz w:val="24"/>
        </w:rPr>
        <w:t>s</w:t>
      </w:r>
      <w:r w:rsidR="008D30E8">
        <w:rPr>
          <w:rFonts w:ascii="Times New Roman" w:hAnsi="Times New Roman"/>
          <w:sz w:val="24"/>
        </w:rPr>
        <w:t>pecifications 10-16</w:t>
      </w:r>
      <w:r w:rsidR="00544FF2">
        <w:rPr>
          <w:rFonts w:ascii="Times New Roman" w:hAnsi="Times New Roman"/>
          <w:sz w:val="24"/>
        </w:rPr>
        <w:t>)</w:t>
      </w:r>
      <w:r w:rsidR="00BA3651">
        <w:rPr>
          <w:rFonts w:ascii="Times New Roman" w:hAnsi="Times New Roman"/>
          <w:sz w:val="24"/>
        </w:rPr>
        <w:t>;</w:t>
      </w:r>
      <w:r w:rsidR="008D30E8">
        <w:rPr>
          <w:rFonts w:ascii="Times New Roman" w:hAnsi="Times New Roman"/>
          <w:sz w:val="24"/>
        </w:rPr>
        <w:t xml:space="preserve"> and </w:t>
      </w:r>
      <w:r w:rsidR="008D30E8" w:rsidRPr="008D30E8">
        <w:rPr>
          <w:rFonts w:ascii="Times New Roman" w:hAnsi="Times New Roman"/>
          <w:sz w:val="24"/>
        </w:rPr>
        <w:t xml:space="preserve">the 2020 inflation expectations as collected in the </w:t>
      </w:r>
      <w:r w:rsidR="008D30E8" w:rsidRPr="00BA3651">
        <w:rPr>
          <w:rFonts w:ascii="Times New Roman" w:hAnsi="Times New Roman"/>
          <w:i/>
          <w:iCs/>
          <w:sz w:val="24"/>
        </w:rPr>
        <w:t>second</w:t>
      </w:r>
      <w:r w:rsidR="008D30E8" w:rsidRPr="008D30E8">
        <w:rPr>
          <w:rFonts w:ascii="Times New Roman" w:hAnsi="Times New Roman"/>
          <w:sz w:val="24"/>
        </w:rPr>
        <w:t xml:space="preserve"> survey after the UMP announcement, potentially capturing delayed effects on inflation expectations</w:t>
      </w:r>
      <w:r w:rsidR="00544FF2">
        <w:rPr>
          <w:rFonts w:ascii="Times New Roman" w:hAnsi="Times New Roman"/>
          <w:sz w:val="24"/>
        </w:rPr>
        <w:t xml:space="preserve"> (</w:t>
      </w:r>
      <w:r w:rsidR="00381B79">
        <w:rPr>
          <w:rFonts w:ascii="Times New Roman" w:hAnsi="Times New Roman"/>
          <w:sz w:val="24"/>
        </w:rPr>
        <w:t xml:space="preserve">in </w:t>
      </w:r>
      <w:r w:rsidR="008D30E8">
        <w:rPr>
          <w:rFonts w:ascii="Times New Roman" w:hAnsi="Times New Roman"/>
          <w:sz w:val="24"/>
        </w:rPr>
        <w:t>specifications 17-23</w:t>
      </w:r>
      <w:r w:rsidR="00544FF2">
        <w:rPr>
          <w:rFonts w:ascii="Times New Roman" w:hAnsi="Times New Roman"/>
          <w:sz w:val="24"/>
        </w:rPr>
        <w:t>)</w:t>
      </w:r>
      <w:r w:rsidR="008D30E8">
        <w:rPr>
          <w:rFonts w:ascii="Times New Roman" w:hAnsi="Times New Roman"/>
          <w:sz w:val="24"/>
        </w:rPr>
        <w:t>.</w:t>
      </w:r>
    </w:p>
    <w:p w14:paraId="09B48520" w14:textId="7AC7735C" w:rsidR="001D1DB8" w:rsidRDefault="00CB05CD" w:rsidP="00CB05CD">
      <w:pPr>
        <w:spacing w:line="360" w:lineRule="auto"/>
        <w:jc w:val="both"/>
        <w:rPr>
          <w:rFonts w:ascii="Times New Roman" w:hAnsi="Times New Roman"/>
          <w:sz w:val="24"/>
        </w:rPr>
      </w:pPr>
      <w:r>
        <w:rPr>
          <w:rFonts w:ascii="Times New Roman" w:hAnsi="Times New Roman"/>
          <w:sz w:val="24"/>
        </w:rPr>
        <w:t>Table 2 presents the panel data analysis.</w:t>
      </w:r>
      <w:r w:rsidR="001D1DB8" w:rsidRPr="001D1DB8">
        <w:rPr>
          <w:rFonts w:ascii="Times New Roman" w:hAnsi="Times New Roman"/>
          <w:sz w:val="24"/>
        </w:rPr>
        <w:t xml:space="preserve"> The dependent variable is the 12-month ahead inflation forecast, which is constructed as a weighted average of the 2020 and 2021 inflation forecasts.</w:t>
      </w:r>
      <w:r w:rsidR="001D1DB8" w:rsidRPr="001D1DB8">
        <w:rPr>
          <w:rFonts w:ascii="Times New Roman" w:hAnsi="Times New Roman"/>
          <w:sz w:val="24"/>
          <w:vertAlign w:val="superscript"/>
        </w:rPr>
        <w:footnoteReference w:id="10"/>
      </w:r>
      <w:r w:rsidR="001D1DB8" w:rsidRPr="001D1DB8">
        <w:rPr>
          <w:rFonts w:ascii="Times New Roman" w:hAnsi="Times New Roman"/>
          <w:sz w:val="24"/>
        </w:rPr>
        <w:t xml:space="preserve"> The first </w:t>
      </w:r>
      <w:r w:rsidR="00173D4F">
        <w:rPr>
          <w:rFonts w:ascii="Times New Roman" w:hAnsi="Times New Roman"/>
          <w:sz w:val="24"/>
        </w:rPr>
        <w:t>specification</w:t>
      </w:r>
      <w:r w:rsidR="001D1DB8" w:rsidRPr="001D1DB8">
        <w:rPr>
          <w:rFonts w:ascii="Times New Roman" w:hAnsi="Times New Roman"/>
          <w:sz w:val="24"/>
        </w:rPr>
        <w:t xml:space="preserve"> represents the baseline panel data estimation, which includes country and time fixed effects. The explanatory variables are the lag of the dependent variable, the size of UMP programs, and the interaction with a dummy capturing DGF programs.</w:t>
      </w:r>
      <w:r w:rsidR="000E5ED6">
        <w:rPr>
          <w:rStyle w:val="FootnoteReference"/>
          <w:rFonts w:ascii="Times New Roman" w:hAnsi="Times New Roman"/>
        </w:rPr>
        <w:footnoteReference w:id="11"/>
      </w:r>
      <w:r w:rsidR="001D1DB8" w:rsidRPr="001D1DB8">
        <w:rPr>
          <w:rFonts w:ascii="Times New Roman" w:hAnsi="Times New Roman"/>
          <w:sz w:val="24"/>
        </w:rPr>
        <w:t xml:space="preserve"> The lagged dependent variable is statistically significant, while the UMP</w:t>
      </w:r>
      <w:r w:rsidR="009A33F2">
        <w:rPr>
          <w:rFonts w:ascii="Times New Roman" w:hAnsi="Times New Roman"/>
          <w:sz w:val="24"/>
        </w:rPr>
        <w:t xml:space="preserve"> and DGF</w:t>
      </w:r>
      <w:r w:rsidR="001D1DB8" w:rsidRPr="001D1DB8">
        <w:rPr>
          <w:rFonts w:ascii="Times New Roman" w:hAnsi="Times New Roman"/>
          <w:sz w:val="24"/>
        </w:rPr>
        <w:t xml:space="preserve"> variables are not. Specification 2 considers the same regression without country fixed effects. Specifications 3 and 4 have the same fixed effects structure as the baseline but add terms dissecting UMP and DGF effects by country type (AEs or EMDEs), as well as quadratic </w:t>
      </w:r>
      <w:r w:rsidR="009A33F2">
        <w:rPr>
          <w:rFonts w:ascii="Times New Roman" w:hAnsi="Times New Roman"/>
          <w:sz w:val="24"/>
        </w:rPr>
        <w:t>UMP and DGF</w:t>
      </w:r>
      <w:r w:rsidR="001D1DB8" w:rsidRPr="001D1DB8">
        <w:rPr>
          <w:rFonts w:ascii="Times New Roman" w:hAnsi="Times New Roman"/>
          <w:sz w:val="24"/>
        </w:rPr>
        <w:t xml:space="preserve"> </w:t>
      </w:r>
      <w:r w:rsidR="009A33F2">
        <w:rPr>
          <w:rFonts w:ascii="Times New Roman" w:hAnsi="Times New Roman"/>
          <w:sz w:val="24"/>
        </w:rPr>
        <w:t>terms</w:t>
      </w:r>
      <w:r w:rsidR="001D1DB8" w:rsidRPr="001D1DB8">
        <w:rPr>
          <w:rFonts w:ascii="Times New Roman" w:hAnsi="Times New Roman"/>
          <w:sz w:val="24"/>
        </w:rPr>
        <w:t xml:space="preserve">. Here, only the interaction </w:t>
      </w:r>
      <w:r w:rsidR="001D1DB8" w:rsidRPr="001D1DB8">
        <w:rPr>
          <w:rFonts w:ascii="Times New Roman" w:hAnsi="Times New Roman"/>
          <w:sz w:val="24"/>
        </w:rPr>
        <w:lastRenderedPageBreak/>
        <w:t>between the EMDE dummy and the UMP size variable in specification 3 is statistically significant and positive. However, this effect is economically small (a UMP announcement equal to 1% of GDP raises inflation expectations by 0.04 percentage points) and applies to UMPs in general: the dummy that focuses on DGF programs among EMDEs is not statistically significant.</w:t>
      </w:r>
      <w:r w:rsidR="0096496D">
        <w:rPr>
          <w:rFonts w:ascii="Times New Roman" w:hAnsi="Times New Roman"/>
          <w:sz w:val="24"/>
        </w:rPr>
        <w:t xml:space="preserve"> Overall, then, none of our 23 cross-section regressions </w:t>
      </w:r>
      <w:r w:rsidR="00704A4E">
        <w:rPr>
          <w:rFonts w:ascii="Times New Roman" w:hAnsi="Times New Roman"/>
          <w:sz w:val="24"/>
        </w:rPr>
        <w:t>and</w:t>
      </w:r>
      <w:r w:rsidR="0096496D">
        <w:rPr>
          <w:rFonts w:ascii="Times New Roman" w:hAnsi="Times New Roman"/>
          <w:sz w:val="24"/>
        </w:rPr>
        <w:t xml:space="preserve"> 4 panel data regressions find any indication that DGF programs </w:t>
      </w:r>
      <w:r w:rsidR="00704A4E">
        <w:rPr>
          <w:rFonts w:ascii="Times New Roman" w:hAnsi="Times New Roman"/>
          <w:sz w:val="24"/>
        </w:rPr>
        <w:t xml:space="preserve">had a </w:t>
      </w:r>
      <w:r w:rsidR="0081594B">
        <w:rPr>
          <w:rFonts w:ascii="Times New Roman" w:hAnsi="Times New Roman"/>
          <w:sz w:val="24"/>
        </w:rPr>
        <w:t>specific</w:t>
      </w:r>
      <w:r w:rsidR="00704A4E">
        <w:rPr>
          <w:rFonts w:ascii="Times New Roman" w:hAnsi="Times New Roman"/>
          <w:sz w:val="24"/>
        </w:rPr>
        <w:t xml:space="preserve"> </w:t>
      </w:r>
      <w:r w:rsidR="000E5ED6">
        <w:rPr>
          <w:rFonts w:ascii="Times New Roman" w:hAnsi="Times New Roman"/>
          <w:sz w:val="24"/>
        </w:rPr>
        <w:t>effect</w:t>
      </w:r>
      <w:r w:rsidR="00704A4E">
        <w:rPr>
          <w:rFonts w:ascii="Times New Roman" w:hAnsi="Times New Roman"/>
          <w:sz w:val="24"/>
        </w:rPr>
        <w:t xml:space="preserve"> on</w:t>
      </w:r>
      <w:r w:rsidR="0096496D">
        <w:rPr>
          <w:rFonts w:ascii="Times New Roman" w:hAnsi="Times New Roman"/>
          <w:sz w:val="24"/>
        </w:rPr>
        <w:t xml:space="preserve"> inflation expectations</w:t>
      </w:r>
      <w:r w:rsidR="00704A4E">
        <w:rPr>
          <w:rFonts w:ascii="Times New Roman" w:hAnsi="Times New Roman"/>
          <w:sz w:val="24"/>
        </w:rPr>
        <w:t xml:space="preserve">, despite their stated fiscal intent and </w:t>
      </w:r>
      <w:r w:rsidR="00F10891">
        <w:rPr>
          <w:rFonts w:ascii="Times New Roman" w:hAnsi="Times New Roman"/>
          <w:sz w:val="24"/>
        </w:rPr>
        <w:t xml:space="preserve">the fiscal nature of </w:t>
      </w:r>
      <w:r w:rsidR="004A3F3B">
        <w:rPr>
          <w:rFonts w:ascii="Times New Roman" w:hAnsi="Times New Roman"/>
          <w:sz w:val="24"/>
        </w:rPr>
        <w:t xml:space="preserve">their implementation though </w:t>
      </w:r>
      <w:r w:rsidR="00F10891">
        <w:rPr>
          <w:rFonts w:ascii="Times New Roman" w:hAnsi="Times New Roman"/>
          <w:sz w:val="24"/>
        </w:rPr>
        <w:t>primary market purchases, loans, or grants</w:t>
      </w:r>
      <w:r w:rsidR="00704A4E">
        <w:rPr>
          <w:rFonts w:ascii="Times New Roman" w:hAnsi="Times New Roman"/>
          <w:sz w:val="24"/>
        </w:rPr>
        <w:t>.</w:t>
      </w:r>
      <w:r w:rsidR="00704A4E">
        <w:rPr>
          <w:rStyle w:val="FootnoteReference"/>
          <w:rFonts w:ascii="Times New Roman" w:hAnsi="Times New Roman"/>
        </w:rPr>
        <w:footnoteReference w:id="12"/>
      </w:r>
    </w:p>
    <w:p w14:paraId="07A628E7" w14:textId="36CE9014" w:rsidR="003F3D07" w:rsidRPr="00D02579" w:rsidRDefault="003F3D07" w:rsidP="003F3D07">
      <w:pPr>
        <w:pStyle w:val="ListParagraph"/>
        <w:numPr>
          <w:ilvl w:val="0"/>
          <w:numId w:val="19"/>
        </w:numPr>
        <w:spacing w:line="360" w:lineRule="auto"/>
        <w:jc w:val="both"/>
        <w:rPr>
          <w:rFonts w:ascii="Times New Roman" w:hAnsi="Times New Roman"/>
          <w:b/>
          <w:bCs/>
          <w:sz w:val="24"/>
        </w:rPr>
      </w:pPr>
      <w:r>
        <w:rPr>
          <w:rFonts w:ascii="Times New Roman" w:hAnsi="Times New Roman"/>
          <w:b/>
          <w:bCs/>
          <w:sz w:val="24"/>
        </w:rPr>
        <w:t>Conclusion</w:t>
      </w:r>
    </w:p>
    <w:p w14:paraId="241A283B" w14:textId="77777777" w:rsidR="00BC34EE" w:rsidRDefault="00784D20" w:rsidP="000E5ED6">
      <w:pPr>
        <w:spacing w:line="360" w:lineRule="auto"/>
        <w:jc w:val="both"/>
        <w:rPr>
          <w:rFonts w:ascii="Times New Roman" w:hAnsi="Times New Roman"/>
          <w:sz w:val="24"/>
        </w:rPr>
      </w:pPr>
      <w:r>
        <w:rPr>
          <w:rFonts w:ascii="Times New Roman" w:hAnsi="Times New Roman"/>
          <w:sz w:val="24"/>
        </w:rPr>
        <w:t xml:space="preserve">This paper provides a first foray into the relation between COVID-era </w:t>
      </w:r>
      <w:r w:rsidR="004A3F3B">
        <w:rPr>
          <w:rFonts w:ascii="Times New Roman" w:hAnsi="Times New Roman"/>
          <w:sz w:val="24"/>
        </w:rPr>
        <w:t xml:space="preserve">UMP programs, including </w:t>
      </w:r>
      <w:r>
        <w:rPr>
          <w:rFonts w:ascii="Times New Roman" w:hAnsi="Times New Roman"/>
          <w:sz w:val="24"/>
        </w:rPr>
        <w:t>EMDE</w:t>
      </w:r>
      <w:r w:rsidR="004A3F3B">
        <w:rPr>
          <w:rFonts w:ascii="Times New Roman" w:hAnsi="Times New Roman"/>
          <w:sz w:val="24"/>
        </w:rPr>
        <w:t>s’</w:t>
      </w:r>
      <w:r>
        <w:rPr>
          <w:rFonts w:ascii="Times New Roman" w:hAnsi="Times New Roman"/>
          <w:sz w:val="24"/>
        </w:rPr>
        <w:t xml:space="preserve"> DGF programs</w:t>
      </w:r>
      <w:r w:rsidR="004A3F3B">
        <w:rPr>
          <w:rFonts w:ascii="Times New Roman" w:hAnsi="Times New Roman"/>
          <w:sz w:val="24"/>
        </w:rPr>
        <w:t>,</w:t>
      </w:r>
      <w:r>
        <w:rPr>
          <w:rFonts w:ascii="Times New Roman" w:hAnsi="Times New Roman"/>
          <w:sz w:val="24"/>
        </w:rPr>
        <w:t xml:space="preserve"> and inflation, focusing on the </w:t>
      </w:r>
      <w:r w:rsidR="004A3F3B">
        <w:rPr>
          <w:rFonts w:ascii="Times New Roman" w:hAnsi="Times New Roman"/>
          <w:sz w:val="24"/>
        </w:rPr>
        <w:t>direct</w:t>
      </w:r>
      <w:r>
        <w:rPr>
          <w:rFonts w:ascii="Times New Roman" w:hAnsi="Times New Roman"/>
          <w:sz w:val="24"/>
        </w:rPr>
        <w:t xml:space="preserve"> </w:t>
      </w:r>
      <w:r w:rsidR="000E5ED6">
        <w:rPr>
          <w:rFonts w:ascii="Times New Roman" w:hAnsi="Times New Roman"/>
          <w:sz w:val="24"/>
        </w:rPr>
        <w:t>impact on</w:t>
      </w:r>
      <w:r>
        <w:rPr>
          <w:rFonts w:ascii="Times New Roman" w:hAnsi="Times New Roman"/>
          <w:sz w:val="24"/>
        </w:rPr>
        <w:t xml:space="preserve"> inflation expectations. The absence of such a</w:t>
      </w:r>
      <w:r w:rsidR="0081594B">
        <w:rPr>
          <w:rFonts w:ascii="Times New Roman" w:hAnsi="Times New Roman"/>
          <w:sz w:val="24"/>
        </w:rPr>
        <w:t>n</w:t>
      </w:r>
      <w:r>
        <w:rPr>
          <w:rFonts w:ascii="Times New Roman" w:hAnsi="Times New Roman"/>
          <w:sz w:val="24"/>
        </w:rPr>
        <w:t xml:space="preserve"> </w:t>
      </w:r>
      <w:r w:rsidR="0081594B">
        <w:rPr>
          <w:rFonts w:ascii="Times New Roman" w:hAnsi="Times New Roman"/>
          <w:sz w:val="24"/>
        </w:rPr>
        <w:t>impact</w:t>
      </w:r>
      <w:r>
        <w:rPr>
          <w:rFonts w:ascii="Times New Roman" w:hAnsi="Times New Roman"/>
          <w:sz w:val="24"/>
        </w:rPr>
        <w:t xml:space="preserve"> might suggest that </w:t>
      </w:r>
      <w:r w:rsidR="0081594B">
        <w:rPr>
          <w:rFonts w:ascii="Times New Roman" w:hAnsi="Times New Roman"/>
          <w:sz w:val="24"/>
        </w:rPr>
        <w:t xml:space="preserve">in most countries the </w:t>
      </w:r>
      <w:r>
        <w:rPr>
          <w:rFonts w:ascii="Times New Roman" w:hAnsi="Times New Roman"/>
          <w:sz w:val="24"/>
        </w:rPr>
        <w:t xml:space="preserve">public </w:t>
      </w:r>
      <w:r w:rsidR="0081594B">
        <w:rPr>
          <w:rFonts w:ascii="Times New Roman" w:hAnsi="Times New Roman"/>
          <w:sz w:val="24"/>
        </w:rPr>
        <w:t>was persuaded by central banks’</w:t>
      </w:r>
      <w:r w:rsidR="000E5ED6">
        <w:rPr>
          <w:rFonts w:ascii="Times New Roman" w:hAnsi="Times New Roman"/>
          <w:sz w:val="24"/>
        </w:rPr>
        <w:t xml:space="preserve"> presentation of these </w:t>
      </w:r>
      <w:r>
        <w:rPr>
          <w:rFonts w:ascii="Times New Roman" w:hAnsi="Times New Roman"/>
          <w:sz w:val="24"/>
        </w:rPr>
        <w:t>programs</w:t>
      </w:r>
      <w:r w:rsidR="000E5ED6">
        <w:rPr>
          <w:rFonts w:ascii="Times New Roman" w:hAnsi="Times New Roman"/>
          <w:sz w:val="24"/>
        </w:rPr>
        <w:t xml:space="preserve"> as </w:t>
      </w:r>
      <w:r w:rsidR="000E5ED6" w:rsidRPr="000E5ED6">
        <w:rPr>
          <w:rFonts w:ascii="Times New Roman" w:hAnsi="Times New Roman"/>
          <w:sz w:val="24"/>
        </w:rPr>
        <w:t>one-off</w:t>
      </w:r>
      <w:r w:rsidR="000E5ED6">
        <w:rPr>
          <w:rFonts w:ascii="Times New Roman" w:hAnsi="Times New Roman"/>
          <w:sz w:val="24"/>
        </w:rPr>
        <w:t xml:space="preserve"> and</w:t>
      </w:r>
      <w:r>
        <w:rPr>
          <w:rFonts w:ascii="Times New Roman" w:hAnsi="Times New Roman"/>
          <w:sz w:val="24"/>
        </w:rPr>
        <w:t xml:space="preserve"> in response to a unique shock. This finding mainly speaks to whether </w:t>
      </w:r>
      <w:r w:rsidR="009A33F2">
        <w:rPr>
          <w:rFonts w:ascii="Times New Roman" w:hAnsi="Times New Roman"/>
          <w:sz w:val="24"/>
        </w:rPr>
        <w:t xml:space="preserve">inflation </w:t>
      </w:r>
      <w:r>
        <w:rPr>
          <w:rFonts w:ascii="Times New Roman" w:hAnsi="Times New Roman"/>
          <w:sz w:val="24"/>
        </w:rPr>
        <w:t>expectations remained anchored in the face of such programs. The next question, whether inflation realization</w:t>
      </w:r>
      <w:r w:rsidR="0081594B">
        <w:rPr>
          <w:rFonts w:ascii="Times New Roman" w:hAnsi="Times New Roman"/>
          <w:sz w:val="24"/>
        </w:rPr>
        <w:t>s</w:t>
      </w:r>
      <w:r>
        <w:rPr>
          <w:rFonts w:ascii="Times New Roman" w:hAnsi="Times New Roman"/>
          <w:sz w:val="24"/>
        </w:rPr>
        <w:t xml:space="preserve"> ultimately responded to</w:t>
      </w:r>
      <w:r w:rsidR="0007242F">
        <w:rPr>
          <w:rFonts w:ascii="Times New Roman" w:hAnsi="Times New Roman"/>
          <w:sz w:val="24"/>
        </w:rPr>
        <w:t xml:space="preserve"> </w:t>
      </w:r>
      <w:r w:rsidR="009A33F2">
        <w:rPr>
          <w:rFonts w:ascii="Times New Roman" w:hAnsi="Times New Roman"/>
          <w:sz w:val="24"/>
        </w:rPr>
        <w:t xml:space="preserve">central banks’ </w:t>
      </w:r>
      <w:r w:rsidR="0007242F">
        <w:rPr>
          <w:rFonts w:ascii="Times New Roman" w:hAnsi="Times New Roman"/>
          <w:sz w:val="24"/>
        </w:rPr>
        <w:t>COVID-era</w:t>
      </w:r>
      <w:r w:rsidR="004A3F3B">
        <w:rPr>
          <w:rFonts w:ascii="Times New Roman" w:hAnsi="Times New Roman"/>
          <w:sz w:val="24"/>
        </w:rPr>
        <w:t xml:space="preserve"> </w:t>
      </w:r>
      <w:r>
        <w:rPr>
          <w:rFonts w:ascii="Times New Roman" w:hAnsi="Times New Roman"/>
          <w:sz w:val="24"/>
        </w:rPr>
        <w:t>programs</w:t>
      </w:r>
      <w:r w:rsidR="004A3F3B">
        <w:rPr>
          <w:rFonts w:ascii="Times New Roman" w:hAnsi="Times New Roman"/>
          <w:sz w:val="24"/>
        </w:rPr>
        <w:t xml:space="preserve"> </w:t>
      </w:r>
      <w:r>
        <w:rPr>
          <w:rFonts w:ascii="Times New Roman" w:hAnsi="Times New Roman"/>
          <w:sz w:val="24"/>
        </w:rPr>
        <w:t xml:space="preserve">(and </w:t>
      </w:r>
      <w:r w:rsidR="004A3F3B">
        <w:rPr>
          <w:rFonts w:ascii="Times New Roman" w:hAnsi="Times New Roman"/>
          <w:sz w:val="24"/>
        </w:rPr>
        <w:t>sanguine</w:t>
      </w:r>
      <w:r w:rsidR="0081594B">
        <w:rPr>
          <w:rFonts w:ascii="Times New Roman" w:hAnsi="Times New Roman"/>
          <w:sz w:val="24"/>
        </w:rPr>
        <w:t xml:space="preserve"> </w:t>
      </w:r>
      <w:r w:rsidR="004A3F3B">
        <w:rPr>
          <w:rFonts w:ascii="Times New Roman" w:hAnsi="Times New Roman"/>
          <w:sz w:val="24"/>
        </w:rPr>
        <w:t xml:space="preserve">inflation </w:t>
      </w:r>
      <w:r>
        <w:rPr>
          <w:rFonts w:ascii="Times New Roman" w:hAnsi="Times New Roman"/>
          <w:sz w:val="24"/>
        </w:rPr>
        <w:t xml:space="preserve">expectations </w:t>
      </w:r>
      <w:r w:rsidR="00EB3EF4">
        <w:rPr>
          <w:rFonts w:ascii="Times New Roman" w:hAnsi="Times New Roman"/>
          <w:sz w:val="24"/>
        </w:rPr>
        <w:t xml:space="preserve">about them </w:t>
      </w:r>
      <w:r>
        <w:rPr>
          <w:rFonts w:ascii="Times New Roman" w:hAnsi="Times New Roman"/>
          <w:sz w:val="24"/>
        </w:rPr>
        <w:t>were therefore mistaken), is a promising venue for future research, which will require carefully disentangling the many factors that have affected countries</w:t>
      </w:r>
      <w:r w:rsidR="00FB5880">
        <w:rPr>
          <w:rFonts w:ascii="Times New Roman" w:hAnsi="Times New Roman"/>
          <w:sz w:val="24"/>
        </w:rPr>
        <w:t>’ inflation rates</w:t>
      </w:r>
      <w:r>
        <w:rPr>
          <w:rFonts w:ascii="Times New Roman" w:hAnsi="Times New Roman"/>
          <w:sz w:val="24"/>
        </w:rPr>
        <w:t xml:space="preserve"> over the past few years, including supply bottlenecks and the impact of </w:t>
      </w:r>
      <w:r w:rsidR="00CC446A">
        <w:rPr>
          <w:rFonts w:ascii="Times New Roman" w:hAnsi="Times New Roman"/>
          <w:sz w:val="24"/>
        </w:rPr>
        <w:t xml:space="preserve">the </w:t>
      </w:r>
      <w:r w:rsidR="00FB5880">
        <w:rPr>
          <w:rFonts w:ascii="Times New Roman" w:hAnsi="Times New Roman"/>
          <w:sz w:val="24"/>
        </w:rPr>
        <w:t>war in</w:t>
      </w:r>
      <w:r>
        <w:rPr>
          <w:rFonts w:ascii="Times New Roman" w:hAnsi="Times New Roman"/>
          <w:sz w:val="24"/>
        </w:rPr>
        <w:t xml:space="preserve"> Ukraine.</w:t>
      </w:r>
      <w:r w:rsidR="00FB5880">
        <w:rPr>
          <w:rFonts w:ascii="Times New Roman" w:hAnsi="Times New Roman"/>
          <w:sz w:val="24"/>
        </w:rPr>
        <w:t xml:space="preserve"> </w:t>
      </w:r>
      <w:r w:rsidR="000967F0">
        <w:rPr>
          <w:rFonts w:ascii="Times New Roman" w:hAnsi="Times New Roman"/>
          <w:sz w:val="24"/>
        </w:rPr>
        <w:t>This lies beyond the scope of the current paper, but t</w:t>
      </w:r>
      <w:r w:rsidR="00FB5880">
        <w:rPr>
          <w:rFonts w:ascii="Times New Roman" w:hAnsi="Times New Roman"/>
          <w:sz w:val="24"/>
        </w:rPr>
        <w:t>he data that we collected on the programs conducted in 2020 could prov</w:t>
      </w:r>
      <w:r w:rsidR="0081594B">
        <w:rPr>
          <w:rFonts w:ascii="Times New Roman" w:hAnsi="Times New Roman"/>
          <w:sz w:val="24"/>
        </w:rPr>
        <w:t xml:space="preserve">ide </w:t>
      </w:r>
      <w:r w:rsidR="00CC446A">
        <w:rPr>
          <w:rFonts w:ascii="Times New Roman" w:hAnsi="Times New Roman"/>
          <w:sz w:val="24"/>
        </w:rPr>
        <w:t>a</w:t>
      </w:r>
      <w:r w:rsidR="0081594B">
        <w:rPr>
          <w:rFonts w:ascii="Times New Roman" w:hAnsi="Times New Roman"/>
          <w:sz w:val="24"/>
        </w:rPr>
        <w:t xml:space="preserve"> foundation for</w:t>
      </w:r>
      <w:r w:rsidR="00FB5880">
        <w:rPr>
          <w:rFonts w:ascii="Times New Roman" w:hAnsi="Times New Roman"/>
          <w:sz w:val="24"/>
        </w:rPr>
        <w:t xml:space="preserve"> such an empirical exercise.</w:t>
      </w:r>
    </w:p>
    <w:p w14:paraId="43DC8F34" w14:textId="77777777" w:rsidR="00FA2158" w:rsidRDefault="00FA2158" w:rsidP="00FA2158">
      <w:pPr>
        <w:snapToGrid/>
        <w:spacing w:line="259" w:lineRule="auto"/>
        <w:rPr>
          <w:rFonts w:ascii="Times New Roman" w:hAnsi="Times New Roman"/>
          <w:b/>
          <w:bCs/>
          <w:sz w:val="24"/>
        </w:rPr>
      </w:pPr>
    </w:p>
    <w:p w14:paraId="3C076932" w14:textId="79EAE83E" w:rsidR="00BC34EE" w:rsidRDefault="00BC34EE" w:rsidP="00FA2158">
      <w:pPr>
        <w:snapToGrid/>
        <w:spacing w:line="259" w:lineRule="auto"/>
        <w:rPr>
          <w:rFonts w:ascii="Times New Roman" w:hAnsi="Times New Roman"/>
          <w:b/>
          <w:bCs/>
          <w:sz w:val="24"/>
        </w:rPr>
      </w:pPr>
      <w:r>
        <w:rPr>
          <w:rFonts w:ascii="Times New Roman" w:hAnsi="Times New Roman"/>
          <w:b/>
          <w:bCs/>
          <w:sz w:val="24"/>
        </w:rPr>
        <w:t>Disclosure statement</w:t>
      </w:r>
    </w:p>
    <w:p w14:paraId="092B97CE" w14:textId="7C9B0F2E" w:rsidR="00BC34EE" w:rsidRDefault="00BC34EE" w:rsidP="00DD3C58">
      <w:pPr>
        <w:spacing w:line="360" w:lineRule="auto"/>
        <w:jc w:val="both"/>
        <w:rPr>
          <w:rFonts w:ascii="Times New Roman" w:hAnsi="Times New Roman"/>
          <w:sz w:val="24"/>
        </w:rPr>
      </w:pPr>
      <w:r>
        <w:rPr>
          <w:rFonts w:ascii="Times New Roman" w:hAnsi="Times New Roman"/>
          <w:sz w:val="24"/>
        </w:rPr>
        <w:t>No potential conflict of interest was reported by the author.</w:t>
      </w:r>
    </w:p>
    <w:p w14:paraId="63A25E94" w14:textId="2B2AF5BC" w:rsidR="00BC34EE" w:rsidRDefault="00BC34EE" w:rsidP="00DD3C58">
      <w:pPr>
        <w:spacing w:line="360" w:lineRule="auto"/>
        <w:jc w:val="both"/>
        <w:rPr>
          <w:rFonts w:ascii="Times New Roman" w:hAnsi="Times New Roman"/>
          <w:b/>
          <w:bCs/>
          <w:sz w:val="24"/>
        </w:rPr>
      </w:pPr>
      <w:r>
        <w:rPr>
          <w:rFonts w:ascii="Times New Roman" w:hAnsi="Times New Roman"/>
          <w:b/>
          <w:bCs/>
          <w:sz w:val="24"/>
        </w:rPr>
        <w:t>ORCID</w:t>
      </w:r>
    </w:p>
    <w:p w14:paraId="47EA3877" w14:textId="7F6EA151" w:rsidR="00BC34EE" w:rsidRPr="00DD3C58" w:rsidRDefault="00BC34EE" w:rsidP="00FA2158">
      <w:pPr>
        <w:spacing w:line="360" w:lineRule="auto"/>
        <w:jc w:val="both"/>
        <w:rPr>
          <w:rFonts w:ascii="Times New Roman" w:hAnsi="Times New Roman"/>
          <w:sz w:val="24"/>
        </w:rPr>
      </w:pPr>
      <w:r w:rsidRPr="00BC34EE">
        <w:rPr>
          <w:rFonts w:ascii="Times New Roman" w:hAnsi="Times New Roman"/>
          <w:sz w:val="24"/>
        </w:rPr>
        <w:t>Itai Agur (ORCID: 0000-0002-6150-737X)</w:t>
      </w:r>
      <w:r w:rsidRPr="00DD3C58">
        <w:rPr>
          <w:rFonts w:ascii="Times New Roman" w:hAnsi="Times New Roman"/>
          <w:sz w:val="24"/>
        </w:rPr>
        <w:br w:type="page"/>
      </w:r>
    </w:p>
    <w:p w14:paraId="29E29F3B" w14:textId="7D1FCC36" w:rsidR="001D1DB8" w:rsidRPr="001D1DB8" w:rsidRDefault="001D1DB8" w:rsidP="001D1DB8">
      <w:pPr>
        <w:spacing w:line="360" w:lineRule="auto"/>
        <w:rPr>
          <w:rFonts w:ascii="Times New Roman" w:hAnsi="Times New Roman"/>
          <w:b/>
          <w:bCs/>
          <w:sz w:val="24"/>
        </w:rPr>
      </w:pPr>
      <w:r w:rsidRPr="001D1DB8">
        <w:rPr>
          <w:rFonts w:ascii="Times New Roman" w:hAnsi="Times New Roman"/>
          <w:b/>
          <w:bCs/>
          <w:sz w:val="24"/>
        </w:rPr>
        <w:lastRenderedPageBreak/>
        <w:t>References</w:t>
      </w:r>
    </w:p>
    <w:p w14:paraId="76035EB1" w14:textId="77777777" w:rsidR="001D1DB8" w:rsidRPr="001D1DB8" w:rsidRDefault="001D1DB8" w:rsidP="001D1DB8">
      <w:pPr>
        <w:spacing w:line="360" w:lineRule="auto"/>
        <w:ind w:left="360" w:hanging="360"/>
        <w:jc w:val="both"/>
        <w:rPr>
          <w:rFonts w:ascii="Times New Roman" w:hAnsi="Times New Roman"/>
          <w:sz w:val="24"/>
        </w:rPr>
      </w:pPr>
      <w:r w:rsidRPr="001D1DB8">
        <w:rPr>
          <w:rFonts w:ascii="Times New Roman" w:hAnsi="Times New Roman"/>
          <w:sz w:val="24"/>
        </w:rPr>
        <w:t xml:space="preserve">Arena, Marco, </w:t>
      </w:r>
      <w:proofErr w:type="spellStart"/>
      <w:r w:rsidRPr="001D1DB8">
        <w:rPr>
          <w:rFonts w:ascii="Times New Roman" w:hAnsi="Times New Roman"/>
          <w:sz w:val="24"/>
        </w:rPr>
        <w:t>Rudolfs</w:t>
      </w:r>
      <w:proofErr w:type="spellEnd"/>
      <w:r w:rsidRPr="001D1DB8">
        <w:rPr>
          <w:rFonts w:ascii="Times New Roman" w:hAnsi="Times New Roman"/>
          <w:sz w:val="24"/>
        </w:rPr>
        <w:t xml:space="preserve"> </w:t>
      </w:r>
      <w:proofErr w:type="spellStart"/>
      <w:r w:rsidRPr="001D1DB8">
        <w:rPr>
          <w:rFonts w:ascii="Times New Roman" w:hAnsi="Times New Roman"/>
          <w:sz w:val="24"/>
        </w:rPr>
        <w:t>Bems</w:t>
      </w:r>
      <w:proofErr w:type="spellEnd"/>
      <w:r w:rsidRPr="001D1DB8">
        <w:rPr>
          <w:rFonts w:ascii="Times New Roman" w:hAnsi="Times New Roman"/>
          <w:sz w:val="24"/>
        </w:rPr>
        <w:t xml:space="preserve">, Nadeem </w:t>
      </w:r>
      <w:proofErr w:type="spellStart"/>
      <w:r w:rsidRPr="001D1DB8">
        <w:rPr>
          <w:rFonts w:ascii="Times New Roman" w:hAnsi="Times New Roman"/>
          <w:sz w:val="24"/>
        </w:rPr>
        <w:t>Ilahi</w:t>
      </w:r>
      <w:proofErr w:type="spellEnd"/>
      <w:r w:rsidRPr="001D1DB8">
        <w:rPr>
          <w:rFonts w:ascii="Times New Roman" w:hAnsi="Times New Roman"/>
          <w:sz w:val="24"/>
        </w:rPr>
        <w:t xml:space="preserve">, </w:t>
      </w:r>
      <w:proofErr w:type="spellStart"/>
      <w:r w:rsidRPr="001D1DB8">
        <w:rPr>
          <w:rFonts w:ascii="Times New Roman" w:hAnsi="Times New Roman"/>
          <w:sz w:val="24"/>
        </w:rPr>
        <w:t>Jaewoo</w:t>
      </w:r>
      <w:proofErr w:type="spellEnd"/>
      <w:r w:rsidRPr="001D1DB8">
        <w:rPr>
          <w:rFonts w:ascii="Times New Roman" w:hAnsi="Times New Roman"/>
          <w:sz w:val="24"/>
        </w:rPr>
        <w:t xml:space="preserve"> Lee, William Lindquist, and </w:t>
      </w:r>
      <w:proofErr w:type="spellStart"/>
      <w:r w:rsidRPr="001D1DB8">
        <w:rPr>
          <w:rFonts w:ascii="Times New Roman" w:hAnsi="Times New Roman"/>
          <w:sz w:val="24"/>
        </w:rPr>
        <w:t>Tonny</w:t>
      </w:r>
      <w:proofErr w:type="spellEnd"/>
      <w:r w:rsidRPr="001D1DB8">
        <w:rPr>
          <w:rFonts w:ascii="Times New Roman" w:hAnsi="Times New Roman"/>
          <w:sz w:val="24"/>
        </w:rPr>
        <w:t xml:space="preserve"> </w:t>
      </w:r>
      <w:proofErr w:type="spellStart"/>
      <w:r w:rsidRPr="001D1DB8">
        <w:rPr>
          <w:rFonts w:ascii="Times New Roman" w:hAnsi="Times New Roman"/>
          <w:sz w:val="24"/>
        </w:rPr>
        <w:t>Lybek</w:t>
      </w:r>
      <w:proofErr w:type="spellEnd"/>
      <w:r w:rsidRPr="001D1DB8">
        <w:rPr>
          <w:rFonts w:ascii="Times New Roman" w:hAnsi="Times New Roman"/>
          <w:sz w:val="24"/>
        </w:rPr>
        <w:t>. 2021. “Asset Purchase Programs in European Emerging Markets.” IMF Departmental Paper 2021/021.</w:t>
      </w:r>
    </w:p>
    <w:p w14:paraId="7A549858" w14:textId="6E5CB8A1" w:rsidR="001D1DB8" w:rsidRDefault="001D1DB8" w:rsidP="001D1DB8">
      <w:pPr>
        <w:spacing w:line="360" w:lineRule="auto"/>
        <w:ind w:left="360" w:hanging="360"/>
        <w:jc w:val="both"/>
        <w:rPr>
          <w:rFonts w:ascii="Times New Roman" w:hAnsi="Times New Roman"/>
          <w:sz w:val="24"/>
        </w:rPr>
      </w:pPr>
      <w:r w:rsidRPr="001D1DB8">
        <w:rPr>
          <w:rFonts w:ascii="Times New Roman" w:hAnsi="Times New Roman"/>
          <w:sz w:val="24"/>
        </w:rPr>
        <w:t xml:space="preserve">Arslan, Yavuz, Mathias </w:t>
      </w:r>
      <w:proofErr w:type="spellStart"/>
      <w:r w:rsidRPr="001D1DB8">
        <w:rPr>
          <w:rFonts w:ascii="Times New Roman" w:hAnsi="Times New Roman"/>
          <w:sz w:val="24"/>
        </w:rPr>
        <w:t>Drehmann</w:t>
      </w:r>
      <w:proofErr w:type="spellEnd"/>
      <w:r w:rsidRPr="001D1DB8">
        <w:rPr>
          <w:rFonts w:ascii="Times New Roman" w:hAnsi="Times New Roman"/>
          <w:sz w:val="24"/>
        </w:rPr>
        <w:t>, and Boris Hofmann. 2020. “Central Bank Bond Purchases in Emerging Market Economies” BIS Bulletin No. 20.</w:t>
      </w:r>
    </w:p>
    <w:p w14:paraId="7623EA4D" w14:textId="6DC494CA" w:rsidR="00EE6B7C" w:rsidRDefault="00EE6B7C" w:rsidP="001D1DB8">
      <w:pPr>
        <w:spacing w:line="360" w:lineRule="auto"/>
        <w:ind w:left="360" w:hanging="360"/>
        <w:jc w:val="both"/>
        <w:rPr>
          <w:rFonts w:ascii="Times New Roman" w:hAnsi="Times New Roman"/>
          <w:sz w:val="24"/>
        </w:rPr>
      </w:pPr>
      <w:r w:rsidRPr="00EE6B7C">
        <w:rPr>
          <w:rFonts w:ascii="Times New Roman" w:hAnsi="Times New Roman"/>
          <w:sz w:val="24"/>
        </w:rPr>
        <w:t xml:space="preserve">Bhattarai, Saroj, and Christopher J. Neely. 2020. “An Analysis of the Literature on International Unconventional Monetary Policy” Federal Reserve Bank of St. Louis Working Paper 2016-021 (May 2020 revision: </w:t>
      </w:r>
      <w:hyperlink r:id="rId8" w:history="1">
        <w:r w:rsidR="00766DA2" w:rsidRPr="00ED70D6">
          <w:rPr>
            <w:rStyle w:val="Hyperlink"/>
            <w:rFonts w:ascii="Times New Roman" w:hAnsi="Times New Roman"/>
            <w:sz w:val="24"/>
          </w:rPr>
          <w:t>https://doi.org/10.20955/wp.2016.021</w:t>
        </w:r>
      </w:hyperlink>
      <w:r w:rsidRPr="00EE6B7C">
        <w:rPr>
          <w:rFonts w:ascii="Times New Roman" w:hAnsi="Times New Roman"/>
          <w:sz w:val="24"/>
        </w:rPr>
        <w:t>).</w:t>
      </w:r>
    </w:p>
    <w:p w14:paraId="403D6D83" w14:textId="24DEE034" w:rsidR="00766DA2" w:rsidRPr="001D1DB8" w:rsidRDefault="00766DA2" w:rsidP="001D1DB8">
      <w:pPr>
        <w:spacing w:line="360" w:lineRule="auto"/>
        <w:ind w:left="360" w:hanging="360"/>
        <w:jc w:val="both"/>
        <w:rPr>
          <w:rFonts w:ascii="Times New Roman" w:hAnsi="Times New Roman"/>
          <w:sz w:val="24"/>
        </w:rPr>
      </w:pPr>
      <w:r w:rsidRPr="00BC34EE">
        <w:rPr>
          <w:rFonts w:ascii="Times New Roman" w:hAnsi="Times New Roman"/>
          <w:sz w:val="24"/>
        </w:rPr>
        <w:t>Binder, Carola. 2020.</w:t>
      </w:r>
      <w:r w:rsidRPr="00785FE0">
        <w:rPr>
          <w:rFonts w:ascii="Times New Roman" w:hAnsi="Times New Roman"/>
          <w:sz w:val="24"/>
        </w:rPr>
        <w:t xml:space="preserve"> </w:t>
      </w:r>
      <w:r>
        <w:rPr>
          <w:rFonts w:ascii="Times New Roman" w:hAnsi="Times New Roman"/>
          <w:sz w:val="24"/>
        </w:rPr>
        <w:t>“</w:t>
      </w:r>
      <w:r w:rsidRPr="00785FE0">
        <w:rPr>
          <w:rFonts w:ascii="Times New Roman" w:hAnsi="Times New Roman"/>
          <w:sz w:val="24"/>
        </w:rPr>
        <w:t>Coronavirus Fears and Macroeconomic Expectations.</w:t>
      </w:r>
      <w:r>
        <w:rPr>
          <w:rFonts w:ascii="Times New Roman" w:hAnsi="Times New Roman"/>
          <w:sz w:val="24"/>
        </w:rPr>
        <w:t>”</w:t>
      </w:r>
      <w:r w:rsidRPr="00785FE0">
        <w:rPr>
          <w:rFonts w:ascii="Times New Roman" w:hAnsi="Times New Roman"/>
          <w:sz w:val="24"/>
        </w:rPr>
        <w:t xml:space="preserve"> </w:t>
      </w:r>
      <w:r w:rsidRPr="00D02579">
        <w:rPr>
          <w:rFonts w:ascii="Times New Roman" w:hAnsi="Times New Roman"/>
          <w:i/>
          <w:iCs/>
          <w:sz w:val="24"/>
        </w:rPr>
        <w:t>The Review of Economics and Statistics</w:t>
      </w:r>
      <w:r w:rsidRPr="00785FE0">
        <w:rPr>
          <w:rFonts w:ascii="Times New Roman" w:hAnsi="Times New Roman"/>
          <w:sz w:val="24"/>
        </w:rPr>
        <w:t>, 102(4):</w:t>
      </w:r>
      <w:r>
        <w:rPr>
          <w:rFonts w:ascii="Times New Roman" w:hAnsi="Times New Roman"/>
          <w:sz w:val="24"/>
        </w:rPr>
        <w:t xml:space="preserve"> </w:t>
      </w:r>
      <w:r w:rsidRPr="00785FE0">
        <w:rPr>
          <w:rFonts w:ascii="Times New Roman" w:hAnsi="Times New Roman"/>
          <w:sz w:val="24"/>
        </w:rPr>
        <w:t>721–730</w:t>
      </w:r>
      <w:r>
        <w:rPr>
          <w:rFonts w:ascii="Times New Roman" w:hAnsi="Times New Roman"/>
          <w:sz w:val="24"/>
        </w:rPr>
        <w:t>.</w:t>
      </w:r>
    </w:p>
    <w:p w14:paraId="1A65657A" w14:textId="0DB3AB10" w:rsidR="001D1DB8" w:rsidRDefault="001D1DB8" w:rsidP="001D1DB8">
      <w:pPr>
        <w:spacing w:line="360" w:lineRule="auto"/>
        <w:ind w:left="360" w:hanging="360"/>
        <w:jc w:val="both"/>
        <w:rPr>
          <w:rFonts w:ascii="Times New Roman" w:hAnsi="Times New Roman"/>
          <w:sz w:val="24"/>
        </w:rPr>
      </w:pPr>
      <w:r w:rsidRPr="001D1DB8">
        <w:rPr>
          <w:rFonts w:ascii="Times New Roman" w:hAnsi="Times New Roman"/>
          <w:sz w:val="24"/>
        </w:rPr>
        <w:t xml:space="preserve">Cerutti, Eugenio, and Thomas Helbling. 2021. “Unconventional Monetary Policies in Emerging Asia during the COVID-19 Crisis: Why Now? Will They Work?” in: Chang Yong Rhee and Katsiaryna Svirydzenka (eds.) </w:t>
      </w:r>
      <w:r w:rsidRPr="001D1DB8">
        <w:rPr>
          <w:rFonts w:ascii="Times New Roman" w:hAnsi="Times New Roman"/>
          <w:i/>
          <w:iCs/>
          <w:sz w:val="24"/>
        </w:rPr>
        <w:t>Policy Advice to Asia in the COVID-19 Era</w:t>
      </w:r>
      <w:r w:rsidRPr="001D1DB8">
        <w:rPr>
          <w:rFonts w:ascii="Times New Roman" w:hAnsi="Times New Roman"/>
          <w:sz w:val="24"/>
        </w:rPr>
        <w:t>, IMF Press.</w:t>
      </w:r>
    </w:p>
    <w:p w14:paraId="40B6384A" w14:textId="04BF65E3" w:rsidR="00766DA2" w:rsidRDefault="00766DA2" w:rsidP="001D1DB8">
      <w:pPr>
        <w:spacing w:line="360" w:lineRule="auto"/>
        <w:ind w:left="360" w:hanging="360"/>
        <w:jc w:val="both"/>
        <w:rPr>
          <w:rFonts w:ascii="Times New Roman" w:hAnsi="Times New Roman"/>
          <w:sz w:val="24"/>
        </w:rPr>
      </w:pPr>
      <w:r w:rsidRPr="00BC34EE">
        <w:rPr>
          <w:rFonts w:ascii="Times New Roman" w:hAnsi="Times New Roman"/>
          <w:sz w:val="24"/>
          <w:lang w:val="nl-NL"/>
        </w:rPr>
        <w:t xml:space="preserve">Coleman, Winnie and </w:t>
      </w:r>
      <w:r w:rsidR="00AC2929">
        <w:rPr>
          <w:rFonts w:ascii="Times New Roman" w:hAnsi="Times New Roman"/>
          <w:sz w:val="24"/>
          <w:lang w:val="nl-NL"/>
        </w:rPr>
        <w:t xml:space="preserve">Dieter </w:t>
      </w:r>
      <w:r w:rsidRPr="00BC34EE">
        <w:rPr>
          <w:rFonts w:ascii="Times New Roman" w:hAnsi="Times New Roman"/>
          <w:sz w:val="24"/>
          <w:lang w:val="nl-NL"/>
        </w:rPr>
        <w:t>Nautz.</w:t>
      </w:r>
      <w:r>
        <w:rPr>
          <w:rFonts w:ascii="Times New Roman" w:hAnsi="Times New Roman"/>
          <w:sz w:val="24"/>
          <w:lang w:val="nl-NL"/>
        </w:rPr>
        <w:t xml:space="preserve"> </w:t>
      </w:r>
      <w:r w:rsidRPr="00BC34EE">
        <w:rPr>
          <w:rFonts w:ascii="Times New Roman" w:hAnsi="Times New Roman"/>
          <w:sz w:val="24"/>
        </w:rPr>
        <w:t>20</w:t>
      </w:r>
      <w:r>
        <w:rPr>
          <w:rFonts w:ascii="Times New Roman" w:hAnsi="Times New Roman"/>
          <w:sz w:val="24"/>
        </w:rPr>
        <w:t>21.</w:t>
      </w:r>
      <w:r w:rsidRPr="00766DA2">
        <w:rPr>
          <w:rFonts w:ascii="Times New Roman" w:hAnsi="Times New Roman"/>
          <w:sz w:val="24"/>
        </w:rPr>
        <w:t xml:space="preserve"> </w:t>
      </w:r>
      <w:r w:rsidRPr="00BC34EE">
        <w:rPr>
          <w:rFonts w:ascii="Times New Roman" w:hAnsi="Times New Roman"/>
          <w:sz w:val="24"/>
        </w:rPr>
        <w:t>“</w:t>
      </w:r>
      <w:r w:rsidRPr="00766DA2">
        <w:rPr>
          <w:rFonts w:ascii="Times New Roman" w:hAnsi="Times New Roman"/>
          <w:sz w:val="24"/>
        </w:rPr>
        <w:t>Inflation Expectations, Inflation Target Credibility and the COVID-19 Pandemic: New Evidence from Germany.</w:t>
      </w:r>
      <w:r>
        <w:rPr>
          <w:rFonts w:ascii="Times New Roman" w:hAnsi="Times New Roman"/>
          <w:sz w:val="24"/>
        </w:rPr>
        <w:t>”</w:t>
      </w:r>
      <w:r w:rsidRPr="00766DA2">
        <w:rPr>
          <w:rFonts w:ascii="Times New Roman" w:hAnsi="Times New Roman"/>
          <w:sz w:val="24"/>
        </w:rPr>
        <w:t xml:space="preserve"> </w:t>
      </w:r>
      <w:r>
        <w:rPr>
          <w:rFonts w:ascii="Times New Roman" w:hAnsi="Times New Roman"/>
          <w:sz w:val="24"/>
        </w:rPr>
        <w:t>CFS</w:t>
      </w:r>
      <w:r w:rsidRPr="00766DA2">
        <w:rPr>
          <w:rFonts w:ascii="Times New Roman" w:hAnsi="Times New Roman"/>
          <w:sz w:val="24"/>
        </w:rPr>
        <w:t xml:space="preserve"> Working Paper 658.</w:t>
      </w:r>
    </w:p>
    <w:p w14:paraId="25C01AA7" w14:textId="53EF5D80" w:rsidR="00EE6B7C" w:rsidRDefault="00EE6B7C" w:rsidP="001D1DB8">
      <w:pPr>
        <w:spacing w:line="360" w:lineRule="auto"/>
        <w:ind w:left="360" w:hanging="360"/>
        <w:jc w:val="both"/>
        <w:rPr>
          <w:rFonts w:ascii="Times New Roman" w:hAnsi="Times New Roman"/>
          <w:sz w:val="24"/>
        </w:rPr>
      </w:pPr>
      <w:r w:rsidRPr="00EE6B7C">
        <w:rPr>
          <w:rFonts w:ascii="Times New Roman" w:hAnsi="Times New Roman"/>
          <w:sz w:val="24"/>
        </w:rPr>
        <w:t xml:space="preserve">Dell'Ariccia, Giovanni, Pau </w:t>
      </w:r>
      <w:proofErr w:type="spellStart"/>
      <w:r w:rsidRPr="00EE6B7C">
        <w:rPr>
          <w:rFonts w:ascii="Times New Roman" w:hAnsi="Times New Roman"/>
          <w:sz w:val="24"/>
        </w:rPr>
        <w:t>Rabanal</w:t>
      </w:r>
      <w:proofErr w:type="spellEnd"/>
      <w:r w:rsidRPr="00EE6B7C">
        <w:rPr>
          <w:rFonts w:ascii="Times New Roman" w:hAnsi="Times New Roman"/>
          <w:sz w:val="24"/>
        </w:rPr>
        <w:t xml:space="preserve">, and Damiano Sandri. 2018. "Unconventional Monetary Policies in the Euro Area, Japan, and the United Kingdom” </w:t>
      </w:r>
      <w:r w:rsidRPr="00EE6B7C">
        <w:rPr>
          <w:rFonts w:ascii="Times New Roman" w:hAnsi="Times New Roman"/>
          <w:i/>
          <w:iCs/>
          <w:sz w:val="24"/>
        </w:rPr>
        <w:t>Journal of Economic Perspectives</w:t>
      </w:r>
      <w:r w:rsidRPr="00EE6B7C">
        <w:rPr>
          <w:rFonts w:ascii="Times New Roman" w:hAnsi="Times New Roman"/>
          <w:sz w:val="24"/>
        </w:rPr>
        <w:t xml:space="preserve"> 32 (4): 147-72</w:t>
      </w:r>
      <w:r>
        <w:rPr>
          <w:rFonts w:ascii="Times New Roman" w:hAnsi="Times New Roman"/>
          <w:sz w:val="24"/>
        </w:rPr>
        <w:t>.</w:t>
      </w:r>
    </w:p>
    <w:p w14:paraId="20E2C713" w14:textId="2337CC89" w:rsidR="00785FE0" w:rsidRPr="001D1DB8" w:rsidRDefault="00785FE0" w:rsidP="001D1DB8">
      <w:pPr>
        <w:spacing w:line="360" w:lineRule="auto"/>
        <w:ind w:left="360" w:hanging="360"/>
        <w:jc w:val="both"/>
        <w:rPr>
          <w:rFonts w:ascii="Times New Roman" w:hAnsi="Times New Roman"/>
          <w:sz w:val="24"/>
        </w:rPr>
      </w:pPr>
      <w:proofErr w:type="spellStart"/>
      <w:r w:rsidRPr="006D6BC5">
        <w:rPr>
          <w:rFonts w:ascii="Times New Roman" w:hAnsi="Times New Roman"/>
          <w:sz w:val="24"/>
        </w:rPr>
        <w:t>Dincer</w:t>
      </w:r>
      <w:proofErr w:type="spellEnd"/>
      <w:r w:rsidRPr="006D6BC5">
        <w:rPr>
          <w:rFonts w:ascii="Times New Roman" w:hAnsi="Times New Roman"/>
          <w:sz w:val="24"/>
        </w:rPr>
        <w:t xml:space="preserve">, </w:t>
      </w:r>
      <w:proofErr w:type="spellStart"/>
      <w:r w:rsidRPr="006D6BC5">
        <w:rPr>
          <w:rFonts w:ascii="Times New Roman" w:hAnsi="Times New Roman"/>
          <w:sz w:val="24"/>
        </w:rPr>
        <w:t>Nergiz</w:t>
      </w:r>
      <w:proofErr w:type="spellEnd"/>
      <w:r w:rsidRPr="006D6BC5">
        <w:rPr>
          <w:rFonts w:ascii="Times New Roman" w:hAnsi="Times New Roman"/>
          <w:sz w:val="24"/>
        </w:rPr>
        <w:t xml:space="preserve">, and Barry </w:t>
      </w:r>
      <w:proofErr w:type="spellStart"/>
      <w:r w:rsidRPr="006D6BC5">
        <w:rPr>
          <w:rFonts w:ascii="Times New Roman" w:hAnsi="Times New Roman"/>
          <w:sz w:val="24"/>
        </w:rPr>
        <w:t>Eichengreen</w:t>
      </w:r>
      <w:proofErr w:type="spellEnd"/>
      <w:r w:rsidRPr="006D6BC5">
        <w:rPr>
          <w:rFonts w:ascii="Times New Roman" w:hAnsi="Times New Roman"/>
          <w:sz w:val="24"/>
        </w:rPr>
        <w:t>, 2014</w:t>
      </w:r>
      <w:r>
        <w:rPr>
          <w:rFonts w:ascii="Times New Roman" w:hAnsi="Times New Roman"/>
          <w:sz w:val="24"/>
        </w:rPr>
        <w:t xml:space="preserve">, </w:t>
      </w:r>
      <w:r w:rsidRPr="00785FE0">
        <w:rPr>
          <w:rFonts w:ascii="Times New Roman" w:hAnsi="Times New Roman"/>
          <w:sz w:val="24"/>
        </w:rPr>
        <w:t xml:space="preserve">“Central Bank Transparency and Independence: Updates and New Measures.” </w:t>
      </w:r>
      <w:r w:rsidRPr="00BC34EE">
        <w:rPr>
          <w:rFonts w:ascii="Times New Roman" w:hAnsi="Times New Roman"/>
          <w:i/>
          <w:iCs/>
          <w:sz w:val="24"/>
        </w:rPr>
        <w:t>International Journal of Central Banking</w:t>
      </w:r>
      <w:r w:rsidRPr="00785FE0">
        <w:rPr>
          <w:rFonts w:ascii="Times New Roman" w:hAnsi="Times New Roman"/>
          <w:sz w:val="24"/>
        </w:rPr>
        <w:t xml:space="preserve"> 10 (1): 189–253</w:t>
      </w:r>
      <w:r>
        <w:rPr>
          <w:rFonts w:ascii="Times New Roman" w:hAnsi="Times New Roman"/>
          <w:sz w:val="24"/>
        </w:rPr>
        <w:t>.</w:t>
      </w:r>
    </w:p>
    <w:p w14:paraId="1A400DF1" w14:textId="26638B9A" w:rsidR="00785FE0" w:rsidRDefault="001D1DB8">
      <w:pPr>
        <w:spacing w:line="360" w:lineRule="auto"/>
        <w:ind w:left="360" w:hanging="360"/>
        <w:jc w:val="both"/>
        <w:rPr>
          <w:rFonts w:ascii="Times New Roman" w:hAnsi="Times New Roman"/>
          <w:sz w:val="24"/>
        </w:rPr>
      </w:pPr>
      <w:proofErr w:type="spellStart"/>
      <w:r w:rsidRPr="001D1DB8">
        <w:rPr>
          <w:rFonts w:ascii="Times New Roman" w:hAnsi="Times New Roman"/>
          <w:sz w:val="24"/>
        </w:rPr>
        <w:t>Dincer</w:t>
      </w:r>
      <w:proofErr w:type="spellEnd"/>
      <w:r w:rsidRPr="001D1DB8">
        <w:rPr>
          <w:rFonts w:ascii="Times New Roman" w:hAnsi="Times New Roman"/>
          <w:sz w:val="24"/>
        </w:rPr>
        <w:t xml:space="preserve">, </w:t>
      </w:r>
      <w:proofErr w:type="spellStart"/>
      <w:r w:rsidRPr="001D1DB8">
        <w:rPr>
          <w:rFonts w:ascii="Times New Roman" w:hAnsi="Times New Roman"/>
          <w:sz w:val="24"/>
        </w:rPr>
        <w:t>Nergiz</w:t>
      </w:r>
      <w:proofErr w:type="spellEnd"/>
      <w:r w:rsidRPr="001D1DB8">
        <w:rPr>
          <w:rFonts w:ascii="Times New Roman" w:hAnsi="Times New Roman"/>
          <w:sz w:val="24"/>
        </w:rPr>
        <w:t xml:space="preserve">, Barry </w:t>
      </w:r>
      <w:proofErr w:type="spellStart"/>
      <w:r w:rsidRPr="001D1DB8">
        <w:rPr>
          <w:rFonts w:ascii="Times New Roman" w:hAnsi="Times New Roman"/>
          <w:sz w:val="24"/>
        </w:rPr>
        <w:t>Eichengreen</w:t>
      </w:r>
      <w:proofErr w:type="spellEnd"/>
      <w:r w:rsidRPr="001D1DB8">
        <w:rPr>
          <w:rFonts w:ascii="Times New Roman" w:hAnsi="Times New Roman"/>
          <w:sz w:val="24"/>
        </w:rPr>
        <w:t xml:space="preserve">, and Petra </w:t>
      </w:r>
      <w:proofErr w:type="spellStart"/>
      <w:r w:rsidRPr="001D1DB8">
        <w:rPr>
          <w:rFonts w:ascii="Times New Roman" w:hAnsi="Times New Roman"/>
          <w:sz w:val="24"/>
        </w:rPr>
        <w:t>Geraats</w:t>
      </w:r>
      <w:proofErr w:type="spellEnd"/>
      <w:r w:rsidRPr="001D1DB8">
        <w:rPr>
          <w:rFonts w:ascii="Times New Roman" w:hAnsi="Times New Roman"/>
          <w:sz w:val="24"/>
        </w:rPr>
        <w:t xml:space="preserve">. 2022, “Trends in Monetary Policy Transparency: Further Updates” </w:t>
      </w:r>
      <w:r w:rsidRPr="001D1DB8">
        <w:rPr>
          <w:rFonts w:ascii="Times New Roman" w:hAnsi="Times New Roman"/>
          <w:i/>
          <w:iCs/>
          <w:sz w:val="24"/>
        </w:rPr>
        <w:t xml:space="preserve">International Journal of Central Banking </w:t>
      </w:r>
      <w:r w:rsidRPr="001D1DB8">
        <w:rPr>
          <w:rFonts w:ascii="Times New Roman" w:hAnsi="Times New Roman"/>
          <w:sz w:val="24"/>
        </w:rPr>
        <w:t>18(1), 331-348.</w:t>
      </w:r>
    </w:p>
    <w:p w14:paraId="41087776" w14:textId="71EB777A" w:rsidR="00EE6B7C" w:rsidRPr="00EE6B7C" w:rsidRDefault="00EE6B7C" w:rsidP="001D1DB8">
      <w:pPr>
        <w:spacing w:line="360" w:lineRule="auto"/>
        <w:ind w:left="360" w:hanging="360"/>
        <w:jc w:val="both"/>
        <w:rPr>
          <w:rFonts w:ascii="Times New Roman" w:hAnsi="Times New Roman"/>
          <w:sz w:val="24"/>
          <w:szCs w:val="36"/>
        </w:rPr>
      </w:pPr>
      <w:proofErr w:type="spellStart"/>
      <w:r w:rsidRPr="00EE6B7C">
        <w:rPr>
          <w:rFonts w:ascii="Times New Roman" w:hAnsi="Times New Roman"/>
          <w:sz w:val="24"/>
          <w:szCs w:val="36"/>
        </w:rPr>
        <w:t>Fabo</w:t>
      </w:r>
      <w:proofErr w:type="spellEnd"/>
      <w:r w:rsidRPr="00EE6B7C">
        <w:rPr>
          <w:rFonts w:ascii="Times New Roman" w:hAnsi="Times New Roman"/>
          <w:sz w:val="24"/>
          <w:szCs w:val="36"/>
        </w:rPr>
        <w:t xml:space="preserve">, Brian, Martina </w:t>
      </w:r>
      <w:proofErr w:type="spellStart"/>
      <w:r w:rsidRPr="00EE6B7C">
        <w:rPr>
          <w:rFonts w:ascii="Times New Roman" w:hAnsi="Times New Roman"/>
          <w:sz w:val="24"/>
          <w:szCs w:val="36"/>
        </w:rPr>
        <w:t>Jančoková</w:t>
      </w:r>
      <w:proofErr w:type="spellEnd"/>
      <w:r w:rsidRPr="00EE6B7C">
        <w:rPr>
          <w:rFonts w:ascii="Times New Roman" w:hAnsi="Times New Roman"/>
          <w:sz w:val="24"/>
          <w:szCs w:val="36"/>
        </w:rPr>
        <w:t xml:space="preserve">, Elisabeth </w:t>
      </w:r>
      <w:proofErr w:type="spellStart"/>
      <w:r w:rsidRPr="00EE6B7C">
        <w:rPr>
          <w:rFonts w:ascii="Times New Roman" w:hAnsi="Times New Roman"/>
          <w:sz w:val="24"/>
          <w:szCs w:val="36"/>
        </w:rPr>
        <w:t>Kempf</w:t>
      </w:r>
      <w:proofErr w:type="spellEnd"/>
      <w:r w:rsidRPr="00EE6B7C">
        <w:rPr>
          <w:rFonts w:ascii="Times New Roman" w:hAnsi="Times New Roman"/>
          <w:sz w:val="24"/>
          <w:szCs w:val="36"/>
        </w:rPr>
        <w:t xml:space="preserve">, </w:t>
      </w:r>
      <w:proofErr w:type="spellStart"/>
      <w:r w:rsidRPr="00EE6B7C">
        <w:rPr>
          <w:rFonts w:ascii="Times New Roman" w:hAnsi="Times New Roman"/>
          <w:sz w:val="24"/>
          <w:szCs w:val="36"/>
        </w:rPr>
        <w:t>Ľuboš</w:t>
      </w:r>
      <w:proofErr w:type="spellEnd"/>
      <w:r w:rsidRPr="00EE6B7C">
        <w:rPr>
          <w:rFonts w:ascii="Times New Roman" w:hAnsi="Times New Roman"/>
          <w:sz w:val="24"/>
          <w:szCs w:val="36"/>
        </w:rPr>
        <w:t xml:space="preserve"> </w:t>
      </w:r>
      <w:proofErr w:type="spellStart"/>
      <w:r w:rsidRPr="00EE6B7C">
        <w:rPr>
          <w:rFonts w:ascii="Times New Roman" w:hAnsi="Times New Roman"/>
          <w:sz w:val="24"/>
          <w:szCs w:val="36"/>
        </w:rPr>
        <w:t>Pástor</w:t>
      </w:r>
      <w:proofErr w:type="spellEnd"/>
      <w:r w:rsidRPr="00EE6B7C">
        <w:rPr>
          <w:rFonts w:ascii="Times New Roman" w:hAnsi="Times New Roman"/>
          <w:sz w:val="24"/>
          <w:szCs w:val="36"/>
        </w:rPr>
        <w:t xml:space="preserve">. 2021. “Fifty Shades of QE: Comparing Findings of Central Bankers and Academics.” </w:t>
      </w:r>
      <w:r w:rsidRPr="00EE6B7C">
        <w:rPr>
          <w:rFonts w:ascii="Times New Roman" w:hAnsi="Times New Roman"/>
          <w:i/>
          <w:iCs/>
          <w:sz w:val="24"/>
          <w:szCs w:val="36"/>
        </w:rPr>
        <w:t>Journal of Monetary Economics</w:t>
      </w:r>
      <w:r w:rsidRPr="00EE6B7C">
        <w:rPr>
          <w:rFonts w:ascii="Times New Roman" w:hAnsi="Times New Roman"/>
          <w:sz w:val="24"/>
          <w:szCs w:val="36"/>
        </w:rPr>
        <w:t xml:space="preserve"> 120: 1-20.</w:t>
      </w:r>
    </w:p>
    <w:p w14:paraId="004BCF3B" w14:textId="2534712C" w:rsidR="001D1DB8" w:rsidRDefault="00FA2158" w:rsidP="001D1DB8">
      <w:pPr>
        <w:spacing w:line="360" w:lineRule="auto"/>
        <w:ind w:left="360" w:hanging="360"/>
        <w:jc w:val="both"/>
        <w:rPr>
          <w:rFonts w:ascii="Times New Roman" w:hAnsi="Times New Roman"/>
          <w:sz w:val="24"/>
        </w:rPr>
      </w:pPr>
      <w:hyperlink r:id="rId9" w:history="1">
        <w:proofErr w:type="spellStart"/>
        <w:r w:rsidR="001D1DB8" w:rsidRPr="001D1DB8">
          <w:rPr>
            <w:rFonts w:ascii="Times New Roman" w:hAnsi="Times New Roman"/>
            <w:sz w:val="24"/>
          </w:rPr>
          <w:t>Fratto</w:t>
        </w:r>
        <w:proofErr w:type="spellEnd"/>
      </w:hyperlink>
      <w:r w:rsidR="001D1DB8" w:rsidRPr="001D1DB8">
        <w:rPr>
          <w:rFonts w:ascii="Times New Roman" w:hAnsi="Times New Roman"/>
          <w:sz w:val="24"/>
        </w:rPr>
        <w:t xml:space="preserve">, Chiara, </w:t>
      </w:r>
      <w:hyperlink r:id="rId10" w:history="1">
        <w:r w:rsidR="001D1DB8" w:rsidRPr="001D1DB8">
          <w:rPr>
            <w:rFonts w:ascii="Times New Roman" w:hAnsi="Times New Roman"/>
            <w:sz w:val="24"/>
          </w:rPr>
          <w:t xml:space="preserve">Brendan </w:t>
        </w:r>
        <w:proofErr w:type="spellStart"/>
        <w:r w:rsidR="001D1DB8" w:rsidRPr="001D1DB8">
          <w:rPr>
            <w:rFonts w:ascii="Times New Roman" w:hAnsi="Times New Roman"/>
            <w:sz w:val="24"/>
          </w:rPr>
          <w:t>Harnoys</w:t>
        </w:r>
        <w:proofErr w:type="spellEnd"/>
        <w:r w:rsidR="001D1DB8" w:rsidRPr="001D1DB8">
          <w:rPr>
            <w:rFonts w:ascii="Times New Roman" w:hAnsi="Times New Roman"/>
            <w:sz w:val="24"/>
          </w:rPr>
          <w:t xml:space="preserve"> </w:t>
        </w:r>
        <w:proofErr w:type="spellStart"/>
        <w:r w:rsidR="001D1DB8" w:rsidRPr="001D1DB8">
          <w:rPr>
            <w:rFonts w:ascii="Times New Roman" w:hAnsi="Times New Roman"/>
            <w:sz w:val="24"/>
          </w:rPr>
          <w:t>Vannier</w:t>
        </w:r>
        <w:proofErr w:type="spellEnd"/>
      </w:hyperlink>
      <w:r w:rsidR="001D1DB8" w:rsidRPr="001D1DB8">
        <w:rPr>
          <w:rFonts w:ascii="Times New Roman" w:hAnsi="Times New Roman"/>
          <w:sz w:val="24"/>
        </w:rPr>
        <w:t>, </w:t>
      </w:r>
      <w:hyperlink r:id="rId11" w:history="1">
        <w:r w:rsidR="001D1DB8" w:rsidRPr="001D1DB8">
          <w:rPr>
            <w:rFonts w:ascii="Times New Roman" w:hAnsi="Times New Roman"/>
            <w:sz w:val="24"/>
          </w:rPr>
          <w:t>Borislava Mircheva</w:t>
        </w:r>
      </w:hyperlink>
      <w:r w:rsidR="001D1DB8" w:rsidRPr="001D1DB8">
        <w:rPr>
          <w:rFonts w:ascii="Times New Roman" w:hAnsi="Times New Roman"/>
          <w:sz w:val="24"/>
        </w:rPr>
        <w:t>, </w:t>
      </w:r>
      <w:hyperlink r:id="rId12" w:history="1">
        <w:r w:rsidR="001D1DB8" w:rsidRPr="001D1DB8">
          <w:rPr>
            <w:rFonts w:ascii="Times New Roman" w:hAnsi="Times New Roman"/>
            <w:sz w:val="24"/>
          </w:rPr>
          <w:t>David de Padua</w:t>
        </w:r>
      </w:hyperlink>
      <w:r w:rsidR="001D1DB8" w:rsidRPr="001D1DB8">
        <w:rPr>
          <w:rFonts w:ascii="Times New Roman" w:hAnsi="Times New Roman"/>
          <w:sz w:val="24"/>
        </w:rPr>
        <w:t>, and </w:t>
      </w:r>
      <w:hyperlink r:id="rId13" w:history="1">
        <w:r w:rsidR="001D1DB8" w:rsidRPr="001D1DB8">
          <w:rPr>
            <w:rFonts w:ascii="Times New Roman" w:hAnsi="Times New Roman"/>
            <w:sz w:val="24"/>
          </w:rPr>
          <w:t>Hélène Poirson</w:t>
        </w:r>
      </w:hyperlink>
      <w:r w:rsidR="001D1DB8" w:rsidRPr="001D1DB8">
        <w:rPr>
          <w:rFonts w:ascii="Times New Roman" w:hAnsi="Times New Roman"/>
          <w:sz w:val="24"/>
        </w:rPr>
        <w:t>. 2021. “Unconventional Monetary Policies in Emerging Markets and Frontier Countries</w:t>
      </w:r>
      <w:r w:rsidR="006D6BC5">
        <w:rPr>
          <w:rFonts w:ascii="Times New Roman" w:hAnsi="Times New Roman"/>
          <w:sz w:val="24"/>
        </w:rPr>
        <w:t>.</w:t>
      </w:r>
      <w:r w:rsidR="001D1DB8" w:rsidRPr="001D1DB8">
        <w:rPr>
          <w:rFonts w:ascii="Times New Roman" w:hAnsi="Times New Roman"/>
          <w:sz w:val="24"/>
        </w:rPr>
        <w:t>” IMF W</w:t>
      </w:r>
      <w:r w:rsidR="006D6BC5">
        <w:rPr>
          <w:rFonts w:ascii="Times New Roman" w:hAnsi="Times New Roman"/>
          <w:sz w:val="24"/>
        </w:rPr>
        <w:t>orking Paper</w:t>
      </w:r>
      <w:r w:rsidR="001D1DB8" w:rsidRPr="001D1DB8">
        <w:rPr>
          <w:rFonts w:ascii="Times New Roman" w:hAnsi="Times New Roman"/>
          <w:sz w:val="24"/>
        </w:rPr>
        <w:t xml:space="preserve"> 21/14.</w:t>
      </w:r>
    </w:p>
    <w:p w14:paraId="49D5021F" w14:textId="0EDA2BA8" w:rsidR="00644B27" w:rsidRDefault="00644B27" w:rsidP="001D1DB8">
      <w:pPr>
        <w:spacing w:line="360" w:lineRule="auto"/>
        <w:ind w:left="360" w:hanging="360"/>
        <w:jc w:val="both"/>
        <w:rPr>
          <w:rFonts w:ascii="Times New Roman" w:hAnsi="Times New Roman"/>
          <w:sz w:val="24"/>
        </w:rPr>
      </w:pPr>
      <w:r w:rsidRPr="006D6BC5">
        <w:rPr>
          <w:rFonts w:ascii="Times New Roman" w:hAnsi="Times New Roman"/>
          <w:sz w:val="24"/>
        </w:rPr>
        <w:t>Garriga, A</w:t>
      </w:r>
      <w:r w:rsidR="006D6BC5" w:rsidRPr="00BC34EE">
        <w:rPr>
          <w:rFonts w:ascii="Times New Roman" w:hAnsi="Times New Roman"/>
          <w:sz w:val="24"/>
        </w:rPr>
        <w:t>na</w:t>
      </w:r>
      <w:r w:rsidRPr="006D6BC5">
        <w:rPr>
          <w:rFonts w:ascii="Times New Roman" w:hAnsi="Times New Roman"/>
          <w:sz w:val="24"/>
        </w:rPr>
        <w:t xml:space="preserve"> C</w:t>
      </w:r>
      <w:r w:rsidR="006D6BC5" w:rsidRPr="00BC34EE">
        <w:rPr>
          <w:rFonts w:ascii="Times New Roman" w:hAnsi="Times New Roman"/>
          <w:sz w:val="24"/>
        </w:rPr>
        <w:t>arolina</w:t>
      </w:r>
      <w:r w:rsidRPr="006D6BC5">
        <w:rPr>
          <w:rFonts w:ascii="Times New Roman" w:hAnsi="Times New Roman"/>
          <w:sz w:val="24"/>
        </w:rPr>
        <w:t>, and C</w:t>
      </w:r>
      <w:r w:rsidR="006D6BC5" w:rsidRPr="00BC34EE">
        <w:rPr>
          <w:rFonts w:ascii="Times New Roman" w:hAnsi="Times New Roman"/>
          <w:sz w:val="24"/>
        </w:rPr>
        <w:t>esar</w:t>
      </w:r>
      <w:r w:rsidRPr="006D6BC5">
        <w:rPr>
          <w:rFonts w:ascii="Times New Roman" w:hAnsi="Times New Roman"/>
          <w:sz w:val="24"/>
        </w:rPr>
        <w:t xml:space="preserve"> M. Rodriguez. 2020</w:t>
      </w:r>
      <w:r w:rsidRPr="00644B27">
        <w:rPr>
          <w:rFonts w:ascii="Times New Roman" w:hAnsi="Times New Roman"/>
          <w:sz w:val="24"/>
        </w:rPr>
        <w:t xml:space="preserve">. “More Effective than We Thought: Central Bank Independence and Inflation in Developing Countries.” </w:t>
      </w:r>
      <w:r w:rsidRPr="00BC34EE">
        <w:rPr>
          <w:rFonts w:ascii="Times New Roman" w:hAnsi="Times New Roman"/>
          <w:i/>
          <w:iCs/>
          <w:sz w:val="24"/>
        </w:rPr>
        <w:t>Economic Modelling</w:t>
      </w:r>
      <w:r w:rsidRPr="00644B27">
        <w:rPr>
          <w:rFonts w:ascii="Times New Roman" w:hAnsi="Times New Roman"/>
          <w:sz w:val="24"/>
        </w:rPr>
        <w:t xml:space="preserve"> 85 (1): 87–105</w:t>
      </w:r>
      <w:r w:rsidR="000665B3">
        <w:rPr>
          <w:rFonts w:ascii="Times New Roman" w:hAnsi="Times New Roman"/>
          <w:sz w:val="24"/>
        </w:rPr>
        <w:t>.</w:t>
      </w:r>
    </w:p>
    <w:p w14:paraId="7759C70C" w14:textId="347D6694" w:rsidR="001D1DB8" w:rsidRDefault="001D1DB8" w:rsidP="001D1DB8">
      <w:pPr>
        <w:spacing w:line="360" w:lineRule="auto"/>
        <w:ind w:left="360" w:hanging="360"/>
        <w:jc w:val="both"/>
        <w:rPr>
          <w:rFonts w:ascii="Times New Roman" w:hAnsi="Times New Roman"/>
          <w:sz w:val="24"/>
        </w:rPr>
      </w:pPr>
      <w:r w:rsidRPr="001D1DB8">
        <w:rPr>
          <w:rFonts w:ascii="Times New Roman" w:hAnsi="Times New Roman"/>
          <w:sz w:val="24"/>
        </w:rPr>
        <w:t>IMF. 2020. “Emerging and Frontier Markets: A Greater Set of Policy Options to Restore Stability”, Global Financial Stability Report, October 2020.</w:t>
      </w:r>
    </w:p>
    <w:p w14:paraId="32C7F8F6" w14:textId="4A5F9C4C" w:rsidR="00644B27" w:rsidRDefault="00644B27" w:rsidP="001D1DB8">
      <w:pPr>
        <w:spacing w:line="360" w:lineRule="auto"/>
        <w:ind w:left="360" w:hanging="360"/>
        <w:jc w:val="both"/>
        <w:rPr>
          <w:rFonts w:ascii="Times New Roman" w:hAnsi="Times New Roman"/>
          <w:sz w:val="24"/>
        </w:rPr>
      </w:pPr>
      <w:bookmarkStart w:id="1" w:name="_Hlk113518787"/>
      <w:r w:rsidRPr="00BC34EE">
        <w:rPr>
          <w:rFonts w:ascii="Times New Roman" w:hAnsi="Times New Roman"/>
          <w:sz w:val="24"/>
          <w:lang w:val="nl-NL"/>
        </w:rPr>
        <w:t xml:space="preserve">Klomp, Jeroen, and Jakob de Haan. 2010. </w:t>
      </w:r>
      <w:r w:rsidRPr="00644B27">
        <w:rPr>
          <w:rFonts w:ascii="Times New Roman" w:hAnsi="Times New Roman"/>
          <w:sz w:val="24"/>
        </w:rPr>
        <w:t xml:space="preserve">“Inflation and Central Bank Independence: A Meta-Regression Analysis.” </w:t>
      </w:r>
      <w:r w:rsidRPr="00BC34EE">
        <w:rPr>
          <w:rFonts w:ascii="Times New Roman" w:hAnsi="Times New Roman"/>
          <w:i/>
          <w:iCs/>
          <w:sz w:val="24"/>
        </w:rPr>
        <w:t>Journal of Economic Surveys</w:t>
      </w:r>
      <w:r w:rsidRPr="00644B27">
        <w:rPr>
          <w:rFonts w:ascii="Times New Roman" w:hAnsi="Times New Roman"/>
          <w:sz w:val="24"/>
        </w:rPr>
        <w:t xml:space="preserve"> 24 (4): 593–621</w:t>
      </w:r>
      <w:bookmarkEnd w:id="1"/>
      <w:r w:rsidR="000665B3">
        <w:rPr>
          <w:rFonts w:ascii="Times New Roman" w:hAnsi="Times New Roman"/>
          <w:sz w:val="24"/>
        </w:rPr>
        <w:t>.</w:t>
      </w:r>
    </w:p>
    <w:p w14:paraId="36F4DC3C" w14:textId="6B159BB1" w:rsidR="00EE6B7C" w:rsidRDefault="00EE6B7C" w:rsidP="001D1DB8">
      <w:pPr>
        <w:spacing w:line="360" w:lineRule="auto"/>
        <w:ind w:left="360" w:hanging="360"/>
        <w:jc w:val="both"/>
        <w:rPr>
          <w:rFonts w:ascii="Times New Roman" w:hAnsi="Times New Roman"/>
          <w:sz w:val="24"/>
        </w:rPr>
      </w:pPr>
      <w:proofErr w:type="spellStart"/>
      <w:r w:rsidRPr="00EE6B7C">
        <w:rPr>
          <w:rFonts w:ascii="Times New Roman" w:hAnsi="Times New Roman"/>
          <w:sz w:val="24"/>
        </w:rPr>
        <w:t>Kuttner</w:t>
      </w:r>
      <w:proofErr w:type="spellEnd"/>
      <w:r w:rsidRPr="00EE6B7C">
        <w:rPr>
          <w:rFonts w:ascii="Times New Roman" w:hAnsi="Times New Roman"/>
          <w:sz w:val="24"/>
        </w:rPr>
        <w:t xml:space="preserve">, Kenneth N. 2018. "Outside the Box: Unconventional Monetary Policy in the Great Recession and Beyond." </w:t>
      </w:r>
      <w:r w:rsidRPr="00EE6B7C">
        <w:rPr>
          <w:rFonts w:ascii="Times New Roman" w:hAnsi="Times New Roman"/>
          <w:i/>
          <w:iCs/>
          <w:sz w:val="24"/>
        </w:rPr>
        <w:t>Journal of Economic Perspectives</w:t>
      </w:r>
      <w:r w:rsidRPr="00EE6B7C">
        <w:rPr>
          <w:rFonts w:ascii="Times New Roman" w:hAnsi="Times New Roman"/>
          <w:sz w:val="24"/>
        </w:rPr>
        <w:t>, 32 (4): 121-46.</w:t>
      </w:r>
    </w:p>
    <w:p w14:paraId="3702CCED" w14:textId="4C7AC919" w:rsidR="00EE6B7C" w:rsidRPr="001D1DB8" w:rsidRDefault="00EE6B7C" w:rsidP="001D1DB8">
      <w:pPr>
        <w:spacing w:line="360" w:lineRule="auto"/>
        <w:ind w:left="360" w:hanging="360"/>
        <w:jc w:val="both"/>
        <w:rPr>
          <w:rFonts w:ascii="Times New Roman" w:hAnsi="Times New Roman"/>
          <w:sz w:val="24"/>
        </w:rPr>
      </w:pPr>
      <w:r w:rsidRPr="00EE6B7C">
        <w:rPr>
          <w:rFonts w:ascii="Times New Roman" w:hAnsi="Times New Roman"/>
          <w:sz w:val="24"/>
        </w:rPr>
        <w:t xml:space="preserve">Lombardi, Domenico, Pierre Siklos, and Samantha St. </w:t>
      </w:r>
      <w:proofErr w:type="spellStart"/>
      <w:r w:rsidRPr="00EE6B7C">
        <w:rPr>
          <w:rFonts w:ascii="Times New Roman" w:hAnsi="Times New Roman"/>
          <w:sz w:val="24"/>
        </w:rPr>
        <w:t>Amand</w:t>
      </w:r>
      <w:proofErr w:type="spellEnd"/>
      <w:r>
        <w:rPr>
          <w:rFonts w:ascii="Times New Roman" w:hAnsi="Times New Roman"/>
          <w:sz w:val="24"/>
        </w:rPr>
        <w:t>.</w:t>
      </w:r>
      <w:r w:rsidRPr="00EE6B7C">
        <w:rPr>
          <w:rFonts w:ascii="Times New Roman" w:hAnsi="Times New Roman"/>
          <w:sz w:val="24"/>
        </w:rPr>
        <w:t xml:space="preserve"> 2018. “A Survey of the International Evidence and Lessons Learned About Unconventional Monetary Policies: Is a ‘New Normal’ in Our Future?” </w:t>
      </w:r>
      <w:r w:rsidRPr="00EE6B7C">
        <w:rPr>
          <w:rFonts w:ascii="Times New Roman" w:hAnsi="Times New Roman"/>
          <w:i/>
          <w:iCs/>
          <w:sz w:val="24"/>
        </w:rPr>
        <w:t>Journal of Economic Surveys</w:t>
      </w:r>
      <w:r w:rsidRPr="00EE6B7C">
        <w:rPr>
          <w:rFonts w:ascii="Times New Roman" w:hAnsi="Times New Roman"/>
          <w:sz w:val="24"/>
        </w:rPr>
        <w:t xml:space="preserve"> 32: 1229-1256.</w:t>
      </w:r>
    </w:p>
    <w:p w14:paraId="46D1A34F" w14:textId="77777777" w:rsidR="00441138" w:rsidRDefault="00441138" w:rsidP="001D1DB8">
      <w:pPr>
        <w:spacing w:line="360" w:lineRule="auto"/>
        <w:ind w:left="360" w:hanging="360"/>
        <w:jc w:val="both"/>
        <w:rPr>
          <w:rFonts w:ascii="Times New Roman" w:hAnsi="Times New Roman"/>
          <w:sz w:val="24"/>
        </w:rPr>
      </w:pPr>
      <w:proofErr w:type="spellStart"/>
      <w:r w:rsidRPr="00441138">
        <w:rPr>
          <w:rFonts w:ascii="Times New Roman" w:hAnsi="Times New Roman"/>
          <w:sz w:val="24"/>
        </w:rPr>
        <w:t>Rebucci</w:t>
      </w:r>
      <w:proofErr w:type="spellEnd"/>
      <w:r w:rsidRPr="00441138">
        <w:rPr>
          <w:rFonts w:ascii="Times New Roman" w:hAnsi="Times New Roman"/>
          <w:sz w:val="24"/>
        </w:rPr>
        <w:t>, Alessandro, Jonathan S. Hartley, and Daniel Jiménez. 2022. “An Event Study of COVID-19 Central Bank Quantitative Easing in Advanced and Emerging Economies” Advances in Econometrics 43A, Ch. 13, 291-322.</w:t>
      </w:r>
    </w:p>
    <w:p w14:paraId="17E532DD" w14:textId="4240B0F6" w:rsidR="001D1DB8" w:rsidRPr="001D1DB8" w:rsidRDefault="001D1DB8" w:rsidP="001D1DB8">
      <w:pPr>
        <w:spacing w:line="360" w:lineRule="auto"/>
        <w:ind w:left="360" w:hanging="360"/>
        <w:jc w:val="both"/>
        <w:rPr>
          <w:rFonts w:ascii="Times New Roman" w:hAnsi="Times New Roman"/>
          <w:sz w:val="24"/>
        </w:rPr>
      </w:pPr>
      <w:r w:rsidRPr="001D1DB8">
        <w:rPr>
          <w:rFonts w:ascii="Times New Roman" w:hAnsi="Times New Roman"/>
          <w:sz w:val="24"/>
        </w:rPr>
        <w:t xml:space="preserve">Sever, Can, Rohit Goel, Dimitris </w:t>
      </w:r>
      <w:proofErr w:type="spellStart"/>
      <w:r w:rsidRPr="001D1DB8">
        <w:rPr>
          <w:rFonts w:ascii="Times New Roman" w:hAnsi="Times New Roman"/>
          <w:sz w:val="24"/>
        </w:rPr>
        <w:t>Drakopoulos</w:t>
      </w:r>
      <w:proofErr w:type="spellEnd"/>
      <w:r w:rsidRPr="001D1DB8">
        <w:rPr>
          <w:rFonts w:ascii="Times New Roman" w:hAnsi="Times New Roman"/>
          <w:sz w:val="24"/>
        </w:rPr>
        <w:t>, and Evan Papageorgiou. 2020. “Effects of Emerging Market Asset Purchase Program Announcements on Financial Markets During the COVID-19 Pandemic” IMF WP 20/292.</w:t>
      </w:r>
      <w:r w:rsidRPr="001D1DB8">
        <w:rPr>
          <w:rFonts w:ascii="Times New Roman" w:hAnsi="Times New Roman"/>
          <w:sz w:val="24"/>
        </w:rPr>
        <w:br w:type="page"/>
      </w:r>
    </w:p>
    <w:tbl>
      <w:tblPr>
        <w:tblStyle w:val="TableGrid"/>
        <w:tblpPr w:leftFromText="180" w:rightFromText="180" w:vertAnchor="text" w:horzAnchor="margin" w:tblpY="561"/>
        <w:tblW w:w="9715" w:type="dxa"/>
        <w:tblLook w:val="04A0" w:firstRow="1" w:lastRow="0" w:firstColumn="1" w:lastColumn="0" w:noHBand="0" w:noVBand="1"/>
      </w:tblPr>
      <w:tblGrid>
        <w:gridCol w:w="4895"/>
        <w:gridCol w:w="4971"/>
      </w:tblGrid>
      <w:tr w:rsidR="001D1DB8" w:rsidRPr="001D1DB8" w14:paraId="7A3DEB3A" w14:textId="77777777" w:rsidTr="003B141F">
        <w:tc>
          <w:tcPr>
            <w:tcW w:w="4902" w:type="dxa"/>
            <w:tcBorders>
              <w:top w:val="single" w:sz="4" w:space="0" w:color="auto"/>
              <w:left w:val="single" w:sz="4" w:space="0" w:color="auto"/>
              <w:bottom w:val="single" w:sz="4" w:space="0" w:color="auto"/>
              <w:right w:val="single" w:sz="4" w:space="0" w:color="auto"/>
            </w:tcBorders>
            <w:hideMark/>
          </w:tcPr>
          <w:p w14:paraId="4EDD190F" w14:textId="77777777" w:rsidR="001D1DB8" w:rsidRPr="001D1DB8" w:rsidRDefault="001D1DB8" w:rsidP="001D1DB8">
            <w:pPr>
              <w:keepNext/>
              <w:spacing w:after="160" w:line="480" w:lineRule="auto"/>
              <w:rPr>
                <w:rFonts w:ascii="Times New Roman" w:eastAsiaTheme="majorEastAsia" w:hAnsi="Times New Roman"/>
                <w:noProof/>
                <w:sz w:val="24"/>
                <w:szCs w:val="24"/>
                <w:lang w:eastAsia="zh-CN"/>
              </w:rPr>
            </w:pPr>
            <w:r w:rsidRPr="001D1DB8">
              <w:rPr>
                <w:rFonts w:ascii="Times New Roman" w:eastAsiaTheme="majorEastAsia" w:hAnsi="Times New Roman"/>
                <w:noProof/>
                <w:sz w:val="24"/>
              </w:rPr>
              <w:lastRenderedPageBreak/>
              <w:drawing>
                <wp:inline distT="0" distB="0" distL="0" distR="0" wp14:anchorId="278BA5D2" wp14:editId="3365423B">
                  <wp:extent cx="2944608" cy="21350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5804" cy="2143209"/>
                          </a:xfrm>
                          <a:prstGeom prst="rect">
                            <a:avLst/>
                          </a:prstGeom>
                          <a:noFill/>
                          <a:ln>
                            <a:noFill/>
                          </a:ln>
                        </pic:spPr>
                      </pic:pic>
                    </a:graphicData>
                  </a:graphic>
                </wp:inline>
              </w:drawing>
            </w:r>
          </w:p>
        </w:tc>
        <w:tc>
          <w:tcPr>
            <w:tcW w:w="4813" w:type="dxa"/>
            <w:tcBorders>
              <w:top w:val="single" w:sz="4" w:space="0" w:color="auto"/>
              <w:left w:val="single" w:sz="4" w:space="0" w:color="auto"/>
              <w:bottom w:val="single" w:sz="4" w:space="0" w:color="auto"/>
              <w:right w:val="single" w:sz="4" w:space="0" w:color="auto"/>
            </w:tcBorders>
            <w:hideMark/>
          </w:tcPr>
          <w:p w14:paraId="131726F3" w14:textId="77777777" w:rsidR="001D1DB8" w:rsidRPr="001D1DB8" w:rsidRDefault="001D1DB8" w:rsidP="001D1DB8">
            <w:pPr>
              <w:keepNext/>
              <w:spacing w:after="160" w:line="480" w:lineRule="auto"/>
              <w:rPr>
                <w:rFonts w:ascii="Times New Roman" w:eastAsia="SimSun" w:hAnsi="Times New Roman"/>
                <w:noProof/>
                <w:sz w:val="24"/>
                <w:szCs w:val="24"/>
                <w:lang w:eastAsia="zh-CN"/>
              </w:rPr>
            </w:pPr>
            <w:r w:rsidRPr="001D1DB8">
              <w:rPr>
                <w:rFonts w:ascii="Times New Roman" w:hAnsi="Times New Roman"/>
                <w:noProof/>
                <w:sz w:val="24"/>
              </w:rPr>
              <w:drawing>
                <wp:inline distT="0" distB="0" distL="0" distR="0" wp14:anchorId="4EAA9C36" wp14:editId="0237A81A">
                  <wp:extent cx="2884294" cy="20913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9913" cy="2109934"/>
                          </a:xfrm>
                          <a:prstGeom prst="rect">
                            <a:avLst/>
                          </a:prstGeom>
                          <a:noFill/>
                          <a:ln>
                            <a:noFill/>
                          </a:ln>
                        </pic:spPr>
                      </pic:pic>
                    </a:graphicData>
                  </a:graphic>
                </wp:inline>
              </w:drawing>
            </w:r>
          </w:p>
        </w:tc>
      </w:tr>
      <w:tr w:rsidR="001D1DB8" w:rsidRPr="001D1DB8" w14:paraId="5E914CD2" w14:textId="77777777" w:rsidTr="003B141F">
        <w:tc>
          <w:tcPr>
            <w:tcW w:w="4902" w:type="dxa"/>
            <w:tcBorders>
              <w:top w:val="single" w:sz="4" w:space="0" w:color="auto"/>
              <w:left w:val="single" w:sz="4" w:space="0" w:color="auto"/>
              <w:bottom w:val="single" w:sz="4" w:space="0" w:color="auto"/>
              <w:right w:val="single" w:sz="4" w:space="0" w:color="auto"/>
            </w:tcBorders>
            <w:hideMark/>
          </w:tcPr>
          <w:p w14:paraId="3475FDB1" w14:textId="77777777" w:rsidR="001D1DB8" w:rsidRPr="001D1DB8" w:rsidRDefault="001D1DB8" w:rsidP="001D1DB8">
            <w:pPr>
              <w:keepNext/>
              <w:spacing w:after="160" w:line="480" w:lineRule="auto"/>
              <w:rPr>
                <w:rFonts w:ascii="Times New Roman" w:eastAsia="SimSun" w:hAnsi="Times New Roman"/>
                <w:sz w:val="24"/>
                <w:szCs w:val="24"/>
                <w:lang w:eastAsia="zh-CN"/>
              </w:rPr>
            </w:pPr>
            <w:r w:rsidRPr="001D1DB8">
              <w:rPr>
                <w:rFonts w:ascii="Times New Roman" w:hAnsi="Times New Roman"/>
                <w:noProof/>
                <w:sz w:val="24"/>
              </w:rPr>
              <w:drawing>
                <wp:inline distT="0" distB="0" distL="0" distR="0" wp14:anchorId="2C3890D0" wp14:editId="11184B38">
                  <wp:extent cx="2878076" cy="2086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080" cy="2098238"/>
                          </a:xfrm>
                          <a:prstGeom prst="rect">
                            <a:avLst/>
                          </a:prstGeom>
                          <a:noFill/>
                          <a:ln>
                            <a:noFill/>
                          </a:ln>
                        </pic:spPr>
                      </pic:pic>
                    </a:graphicData>
                  </a:graphic>
                </wp:inline>
              </w:drawing>
            </w:r>
          </w:p>
        </w:tc>
        <w:tc>
          <w:tcPr>
            <w:tcW w:w="4813" w:type="dxa"/>
            <w:tcBorders>
              <w:top w:val="single" w:sz="4" w:space="0" w:color="auto"/>
              <w:left w:val="single" w:sz="4" w:space="0" w:color="auto"/>
              <w:bottom w:val="single" w:sz="4" w:space="0" w:color="auto"/>
              <w:right w:val="single" w:sz="4" w:space="0" w:color="auto"/>
            </w:tcBorders>
            <w:hideMark/>
          </w:tcPr>
          <w:p w14:paraId="2D923F40" w14:textId="77777777" w:rsidR="001D1DB8" w:rsidRPr="001D1DB8" w:rsidRDefault="001D1DB8" w:rsidP="001D1DB8">
            <w:pPr>
              <w:keepNext/>
              <w:spacing w:after="160" w:line="480" w:lineRule="auto"/>
              <w:rPr>
                <w:rFonts w:ascii="Times New Roman" w:eastAsia="SimSun" w:hAnsi="Times New Roman"/>
                <w:sz w:val="24"/>
                <w:szCs w:val="24"/>
                <w:lang w:eastAsia="zh-CN"/>
              </w:rPr>
            </w:pPr>
            <w:r w:rsidRPr="001D1DB8">
              <w:rPr>
                <w:rFonts w:ascii="Times New Roman" w:hAnsi="Times New Roman"/>
                <w:noProof/>
                <w:sz w:val="24"/>
              </w:rPr>
              <w:drawing>
                <wp:inline distT="0" distB="0" distL="0" distR="0" wp14:anchorId="6C0A4AAE" wp14:editId="61DFDCE9">
                  <wp:extent cx="2878076" cy="2086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8317" cy="2101310"/>
                          </a:xfrm>
                          <a:prstGeom prst="rect">
                            <a:avLst/>
                          </a:prstGeom>
                          <a:noFill/>
                          <a:ln>
                            <a:noFill/>
                          </a:ln>
                        </pic:spPr>
                      </pic:pic>
                    </a:graphicData>
                  </a:graphic>
                </wp:inline>
              </w:drawing>
            </w:r>
          </w:p>
        </w:tc>
      </w:tr>
      <w:tr w:rsidR="001D1DB8" w:rsidRPr="001D1DB8" w14:paraId="5BC07461" w14:textId="77777777" w:rsidTr="003B141F">
        <w:tc>
          <w:tcPr>
            <w:tcW w:w="4902" w:type="dxa"/>
            <w:tcBorders>
              <w:top w:val="single" w:sz="4" w:space="0" w:color="auto"/>
              <w:left w:val="single" w:sz="4" w:space="0" w:color="auto"/>
              <w:bottom w:val="single" w:sz="4" w:space="0" w:color="auto"/>
              <w:right w:val="single" w:sz="4" w:space="0" w:color="auto"/>
            </w:tcBorders>
            <w:hideMark/>
          </w:tcPr>
          <w:p w14:paraId="073CF493" w14:textId="77777777" w:rsidR="001D1DB8" w:rsidRPr="001D1DB8" w:rsidRDefault="001D1DB8" w:rsidP="001D1DB8">
            <w:pPr>
              <w:keepNext/>
              <w:spacing w:after="160" w:line="480" w:lineRule="auto"/>
              <w:rPr>
                <w:rFonts w:ascii="Times New Roman" w:eastAsia="SimSun" w:hAnsi="Times New Roman"/>
                <w:sz w:val="24"/>
                <w:szCs w:val="24"/>
                <w:lang w:eastAsia="zh-CN"/>
              </w:rPr>
            </w:pPr>
            <w:r w:rsidRPr="001D1DB8">
              <w:rPr>
                <w:rFonts w:ascii="Times New Roman" w:hAnsi="Times New Roman"/>
                <w:noProof/>
                <w:sz w:val="24"/>
              </w:rPr>
              <w:drawing>
                <wp:inline distT="0" distB="0" distL="0" distR="0" wp14:anchorId="642ABF78" wp14:editId="57003CDA">
                  <wp:extent cx="2971732" cy="21545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0108" cy="2167859"/>
                          </a:xfrm>
                          <a:prstGeom prst="rect">
                            <a:avLst/>
                          </a:prstGeom>
                          <a:noFill/>
                          <a:ln>
                            <a:noFill/>
                          </a:ln>
                        </pic:spPr>
                      </pic:pic>
                    </a:graphicData>
                  </a:graphic>
                </wp:inline>
              </w:drawing>
            </w:r>
          </w:p>
        </w:tc>
        <w:tc>
          <w:tcPr>
            <w:tcW w:w="4813" w:type="dxa"/>
            <w:tcBorders>
              <w:top w:val="single" w:sz="4" w:space="0" w:color="auto"/>
              <w:left w:val="single" w:sz="4" w:space="0" w:color="auto"/>
              <w:bottom w:val="single" w:sz="4" w:space="0" w:color="auto"/>
              <w:right w:val="single" w:sz="4" w:space="0" w:color="auto"/>
            </w:tcBorders>
            <w:hideMark/>
          </w:tcPr>
          <w:p w14:paraId="487F6E8A" w14:textId="77777777" w:rsidR="001D1DB8" w:rsidRPr="001D1DB8" w:rsidRDefault="001D1DB8" w:rsidP="001D1DB8">
            <w:pPr>
              <w:keepNext/>
              <w:spacing w:after="160" w:line="480" w:lineRule="auto"/>
              <w:rPr>
                <w:rFonts w:ascii="Times New Roman" w:eastAsia="SimSun" w:hAnsi="Times New Roman"/>
                <w:sz w:val="24"/>
                <w:szCs w:val="24"/>
                <w:lang w:eastAsia="zh-CN"/>
              </w:rPr>
            </w:pPr>
            <w:r w:rsidRPr="001D1DB8">
              <w:rPr>
                <w:rFonts w:ascii="Times New Roman" w:hAnsi="Times New Roman"/>
                <w:noProof/>
                <w:sz w:val="24"/>
              </w:rPr>
              <w:drawing>
                <wp:inline distT="0" distB="0" distL="0" distR="0" wp14:anchorId="3F2B645E" wp14:editId="7EB63692">
                  <wp:extent cx="3019607" cy="21892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3687" cy="2199454"/>
                          </a:xfrm>
                          <a:prstGeom prst="rect">
                            <a:avLst/>
                          </a:prstGeom>
                          <a:noFill/>
                          <a:ln>
                            <a:noFill/>
                          </a:ln>
                        </pic:spPr>
                      </pic:pic>
                    </a:graphicData>
                  </a:graphic>
                </wp:inline>
              </w:drawing>
            </w:r>
          </w:p>
        </w:tc>
      </w:tr>
    </w:tbl>
    <w:p w14:paraId="013D9BB0" w14:textId="77777777" w:rsidR="001D1DB8" w:rsidRPr="001D1DB8" w:rsidRDefault="001D1DB8" w:rsidP="001D1DB8">
      <w:pPr>
        <w:jc w:val="both"/>
        <w:rPr>
          <w:rFonts w:ascii="Times New Roman" w:hAnsi="Times New Roman"/>
          <w:sz w:val="24"/>
        </w:rPr>
      </w:pPr>
      <w:r w:rsidRPr="001D1DB8">
        <w:rPr>
          <w:rFonts w:ascii="Times New Roman" w:hAnsi="Times New Roman"/>
          <w:b/>
          <w:bCs/>
          <w:sz w:val="24"/>
        </w:rPr>
        <w:t>Figure 1: UMPs in 2020 – Values of Announced Packages in % of GDP.</w:t>
      </w:r>
      <w:r w:rsidRPr="001D1DB8">
        <w:rPr>
          <w:rFonts w:ascii="Times New Roman" w:hAnsi="Times New Roman"/>
          <w:sz w:val="24"/>
          <w:vertAlign w:val="superscript"/>
        </w:rPr>
        <w:t xml:space="preserve"> </w:t>
      </w:r>
      <w:r w:rsidRPr="001D1DB8">
        <w:rPr>
          <w:rFonts w:ascii="Times New Roman" w:hAnsi="Times New Roman"/>
          <w:sz w:val="24"/>
          <w:vertAlign w:val="superscript"/>
        </w:rPr>
        <w:footnoteReference w:id="13"/>
      </w:r>
    </w:p>
    <w:p w14:paraId="26394375" w14:textId="77777777" w:rsidR="00522189" w:rsidRDefault="00522189" w:rsidP="001D1DB8">
      <w:pPr>
        <w:spacing w:line="240" w:lineRule="auto"/>
        <w:rPr>
          <w:rFonts w:ascii="Times New Roman" w:hAnsi="Times New Roman"/>
          <w:b/>
          <w:bCs/>
          <w:noProof/>
          <w:sz w:val="24"/>
        </w:rPr>
        <w:sectPr w:rsidR="00522189" w:rsidSect="00EB3EF4">
          <w:headerReference w:type="default" r:id="rId20"/>
          <w:footerReference w:type="default" r:id="rId21"/>
          <w:headerReference w:type="first" r:id="rId22"/>
          <w:pgSz w:w="12240" w:h="15840"/>
          <w:pgMar w:top="1440" w:right="1440" w:bottom="1440" w:left="1440" w:header="720" w:footer="720" w:gutter="0"/>
          <w:cols w:space="720"/>
          <w:titlePg/>
          <w:docGrid w:linePitch="360"/>
        </w:sectPr>
      </w:pPr>
    </w:p>
    <w:p w14:paraId="2D0313D8" w14:textId="4A6C0A99" w:rsidR="00E32944" w:rsidRDefault="00EB3EF4">
      <w:pPr>
        <w:snapToGrid/>
        <w:spacing w:line="259" w:lineRule="auto"/>
        <w:rPr>
          <w:rFonts w:ascii="Times New Roman" w:hAnsi="Times New Roman"/>
          <w:b/>
          <w:bCs/>
          <w:sz w:val="24"/>
        </w:rPr>
      </w:pPr>
      <w:r w:rsidRPr="00EB3EF4">
        <w:rPr>
          <w:rFonts w:ascii="Times New Roman" w:hAnsi="Times New Roman"/>
          <w:noProof/>
          <w:sz w:val="24"/>
        </w:rPr>
        <w:lastRenderedPageBreak/>
        <w:drawing>
          <wp:inline distT="0" distB="0" distL="0" distR="0" wp14:anchorId="7EDC8DC3" wp14:editId="6D5900BA">
            <wp:extent cx="8554085" cy="3187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00000">
                      <a:off x="0" y="0"/>
                      <a:ext cx="8554085" cy="3187065"/>
                    </a:xfrm>
                    <a:prstGeom prst="rect">
                      <a:avLst/>
                    </a:prstGeom>
                    <a:noFill/>
                    <a:ln>
                      <a:noFill/>
                    </a:ln>
                  </pic:spPr>
                </pic:pic>
              </a:graphicData>
            </a:graphic>
          </wp:inline>
        </w:drawing>
      </w:r>
      <w:r w:rsidR="00522189" w:rsidRPr="00522189">
        <w:rPr>
          <w:rFonts w:ascii="Times New Roman" w:hAnsi="Times New Roman"/>
          <w:noProof/>
          <w:sz w:val="24"/>
        </w:rPr>
        <w:t xml:space="preserve"> </w:t>
      </w:r>
      <w:r w:rsidR="00AE6EDE" w:rsidRPr="00AE6EDE">
        <w:rPr>
          <w:rFonts w:ascii="Times New Roman" w:hAnsi="Times New Roman"/>
          <w:noProof/>
          <w:sz w:val="24"/>
        </w:rPr>
        <w:t xml:space="preserve"> </w:t>
      </w:r>
      <w:r w:rsidR="00E32944">
        <w:rPr>
          <w:rFonts w:ascii="Times New Roman" w:hAnsi="Times New Roman"/>
          <w:b/>
          <w:bCs/>
          <w:sz w:val="24"/>
        </w:rPr>
        <w:br w:type="page"/>
      </w:r>
    </w:p>
    <w:p w14:paraId="76523299" w14:textId="77777777" w:rsidR="00E32944" w:rsidRPr="00E32944" w:rsidRDefault="00E32944">
      <w:pPr>
        <w:snapToGrid/>
        <w:spacing w:line="259" w:lineRule="auto"/>
        <w:rPr>
          <w:rFonts w:ascii="Times New Roman" w:hAnsi="Times New Roman"/>
          <w:noProof/>
          <w:sz w:val="24"/>
        </w:rPr>
      </w:pPr>
    </w:p>
    <w:p w14:paraId="1DDC8A7F" w14:textId="54ED41D3" w:rsidR="001D1DB8" w:rsidRPr="001D1DB8" w:rsidRDefault="001D1DB8" w:rsidP="001D1DB8">
      <w:pPr>
        <w:snapToGrid/>
        <w:spacing w:line="259" w:lineRule="auto"/>
        <w:ind w:left="720" w:hanging="720"/>
        <w:rPr>
          <w:rFonts w:ascii="Times New Roman" w:hAnsi="Times New Roman"/>
          <w:b/>
          <w:bCs/>
          <w:sz w:val="24"/>
        </w:rPr>
      </w:pPr>
      <w:r w:rsidRPr="001D1DB8">
        <w:rPr>
          <w:rFonts w:ascii="Times New Roman" w:hAnsi="Times New Roman"/>
          <w:b/>
          <w:bCs/>
          <w:sz w:val="24"/>
        </w:rPr>
        <w:t xml:space="preserve">Table </w:t>
      </w:r>
      <w:r w:rsidR="00AE6EDE">
        <w:rPr>
          <w:rFonts w:ascii="Times New Roman" w:hAnsi="Times New Roman"/>
          <w:b/>
          <w:bCs/>
          <w:sz w:val="24"/>
        </w:rPr>
        <w:t>2</w:t>
      </w:r>
      <w:r w:rsidRPr="001D1DB8">
        <w:rPr>
          <w:rFonts w:ascii="Times New Roman" w:hAnsi="Times New Roman"/>
          <w:b/>
          <w:bCs/>
          <w:sz w:val="24"/>
        </w:rPr>
        <w:t xml:space="preserve">: Panel </w:t>
      </w:r>
      <w:r w:rsidR="00AE6EDE">
        <w:rPr>
          <w:rFonts w:ascii="Times New Roman" w:hAnsi="Times New Roman"/>
          <w:b/>
          <w:bCs/>
          <w:sz w:val="24"/>
        </w:rPr>
        <w:t>data analysis</w:t>
      </w:r>
    </w:p>
    <w:p w14:paraId="30B9E76E" w14:textId="1BE697D4" w:rsidR="001D1DB8" w:rsidRPr="001D1DB8" w:rsidRDefault="001D1DB8" w:rsidP="001D1DB8">
      <w:pPr>
        <w:snapToGrid/>
        <w:spacing w:line="259" w:lineRule="auto"/>
        <w:ind w:left="720" w:hanging="720"/>
        <w:rPr>
          <w:rFonts w:ascii="Times New Roman" w:hAnsi="Times New Roman"/>
          <w:sz w:val="24"/>
        </w:rPr>
      </w:pPr>
      <w:r w:rsidRPr="001D1DB8">
        <w:rPr>
          <w:rFonts w:ascii="Times New Roman" w:hAnsi="Times New Roman"/>
          <w:sz w:val="24"/>
        </w:rPr>
        <w:t>Dependent variable: 12-month ahead inflation forecast (see note below table for details)</w:t>
      </w:r>
      <w:r w:rsidR="00AE6EDE">
        <w:rPr>
          <w:rFonts w:ascii="Times New Roman" w:hAnsi="Times New Roman"/>
          <w:sz w:val="24"/>
        </w:rPr>
        <w:t>.</w:t>
      </w:r>
    </w:p>
    <w:p w14:paraId="52608AD3" w14:textId="10CA4A7E" w:rsidR="00E1208E" w:rsidRDefault="00AE6EDE" w:rsidP="00AE6EDE">
      <w:pPr>
        <w:spacing w:line="480" w:lineRule="auto"/>
        <w:rPr>
          <w:rFonts w:ascii="Times New Roman" w:hAnsi="Times New Roman"/>
          <w:sz w:val="24"/>
        </w:rPr>
      </w:pPr>
      <w:r w:rsidRPr="00AE6EDE">
        <w:rPr>
          <w:rFonts w:ascii="Times New Roman" w:hAnsi="Times New Roman"/>
          <w:noProof/>
          <w:sz w:val="24"/>
        </w:rPr>
        <w:drawing>
          <wp:inline distT="0" distB="0" distL="0" distR="0" wp14:anchorId="6DE7F8B5" wp14:editId="430FEAAD">
            <wp:extent cx="5700317" cy="32799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41105" cy="3303382"/>
                    </a:xfrm>
                    <a:prstGeom prst="rect">
                      <a:avLst/>
                    </a:prstGeom>
                    <a:noFill/>
                    <a:ln>
                      <a:noFill/>
                    </a:ln>
                  </pic:spPr>
                </pic:pic>
              </a:graphicData>
            </a:graphic>
          </wp:inline>
        </w:drawing>
      </w:r>
    </w:p>
    <w:sectPr w:rsidR="00E1208E" w:rsidSect="00EB3EF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2F98" w14:textId="77777777" w:rsidR="00756B67" w:rsidRDefault="00756B67" w:rsidP="000B7010">
      <w:pPr>
        <w:spacing w:line="240" w:lineRule="auto"/>
      </w:pPr>
      <w:r>
        <w:separator/>
      </w:r>
    </w:p>
  </w:endnote>
  <w:endnote w:type="continuationSeparator" w:id="0">
    <w:p w14:paraId="41F6710A" w14:textId="77777777" w:rsidR="00756B67" w:rsidRDefault="00756B67"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5CA"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8269" w14:textId="77777777" w:rsidR="00756B67" w:rsidRDefault="00756B67" w:rsidP="000B7010">
      <w:pPr>
        <w:spacing w:line="240" w:lineRule="auto"/>
      </w:pPr>
      <w:r>
        <w:separator/>
      </w:r>
    </w:p>
  </w:footnote>
  <w:footnote w:type="continuationSeparator" w:id="0">
    <w:p w14:paraId="344D5B6B" w14:textId="77777777" w:rsidR="00756B67" w:rsidRDefault="00756B67" w:rsidP="000B7010">
      <w:pPr>
        <w:spacing w:line="240" w:lineRule="auto"/>
      </w:pPr>
      <w:r>
        <w:continuationSeparator/>
      </w:r>
    </w:p>
  </w:footnote>
  <w:footnote w:id="1">
    <w:p w14:paraId="5C254038" w14:textId="3CBB235D" w:rsidR="00E87133" w:rsidRPr="00E87133" w:rsidRDefault="00E87133" w:rsidP="00B56CA1">
      <w:pPr>
        <w:pStyle w:val="FootnoteText"/>
        <w:spacing w:line="240" w:lineRule="auto"/>
        <w:jc w:val="both"/>
        <w:rPr>
          <w:rFonts w:ascii="Times New Roman" w:hAnsi="Times New Roman"/>
          <w:sz w:val="20"/>
        </w:rPr>
      </w:pPr>
      <w:r w:rsidRPr="00E87133">
        <w:rPr>
          <w:rStyle w:val="FootnoteReference"/>
          <w:rFonts w:ascii="Times New Roman" w:hAnsi="Times New Roman"/>
        </w:rPr>
        <w:t>*</w:t>
      </w:r>
      <w:r w:rsidRPr="00E87133">
        <w:rPr>
          <w:rFonts w:ascii="Times New Roman" w:hAnsi="Times New Roman"/>
          <w:sz w:val="20"/>
        </w:rPr>
        <w:t xml:space="preserve"> </w:t>
      </w:r>
      <w:r w:rsidR="00DD3C58">
        <w:rPr>
          <w:rFonts w:ascii="Times New Roman" w:hAnsi="Times New Roman"/>
          <w:sz w:val="20"/>
        </w:rPr>
        <w:t xml:space="preserve">Contact: </w:t>
      </w:r>
      <w:r w:rsidRPr="00E87133">
        <w:rPr>
          <w:rFonts w:ascii="Times New Roman" w:hAnsi="Times New Roman"/>
          <w:sz w:val="20"/>
        </w:rPr>
        <w:t>Itai Agur</w:t>
      </w:r>
      <w:r w:rsidR="00DD3C58">
        <w:rPr>
          <w:rFonts w:ascii="Times New Roman" w:hAnsi="Times New Roman"/>
          <w:sz w:val="20"/>
        </w:rPr>
        <w:t xml:space="preserve">. </w:t>
      </w:r>
      <w:r w:rsidRPr="00E87133">
        <w:rPr>
          <w:rFonts w:ascii="Times New Roman" w:hAnsi="Times New Roman"/>
          <w:sz w:val="20"/>
        </w:rPr>
        <w:t xml:space="preserve">Email: </w:t>
      </w:r>
      <w:hyperlink r:id="rId1" w:history="1">
        <w:r w:rsidR="00BC34EE" w:rsidRPr="00A254DA">
          <w:rPr>
            <w:rStyle w:val="Hyperlink"/>
            <w:rFonts w:ascii="Times New Roman" w:hAnsi="Times New Roman"/>
            <w:sz w:val="20"/>
          </w:rPr>
          <w:t>iagur@imf.org</w:t>
        </w:r>
      </w:hyperlink>
      <w:r w:rsidRPr="00E87133">
        <w:rPr>
          <w:rFonts w:ascii="Times New Roman" w:hAnsi="Times New Roman"/>
          <w:sz w:val="20"/>
        </w:rPr>
        <w:t>.</w:t>
      </w:r>
      <w:r w:rsidR="00BC34EE">
        <w:rPr>
          <w:rFonts w:ascii="Times New Roman" w:hAnsi="Times New Roman"/>
          <w:sz w:val="20"/>
        </w:rPr>
        <w:t xml:space="preserve"> </w:t>
      </w:r>
      <w:r w:rsidR="00BC34EE" w:rsidRPr="00BC34EE">
        <w:rPr>
          <w:rFonts w:ascii="Times New Roman" w:hAnsi="Times New Roman"/>
          <w:sz w:val="20"/>
        </w:rPr>
        <w:t>Research Department</w:t>
      </w:r>
      <w:r w:rsidR="00BC34EE">
        <w:rPr>
          <w:rFonts w:ascii="Times New Roman" w:hAnsi="Times New Roman"/>
          <w:sz w:val="20"/>
        </w:rPr>
        <w:t>,</w:t>
      </w:r>
      <w:r w:rsidRPr="00E87133">
        <w:rPr>
          <w:rFonts w:ascii="Times New Roman" w:hAnsi="Times New Roman"/>
          <w:sz w:val="20"/>
        </w:rPr>
        <w:t xml:space="preserve"> IMF, 700 19th Street, Washington DC 20431, USA.</w:t>
      </w:r>
      <w:r w:rsidR="00FA2158">
        <w:rPr>
          <w:rFonts w:ascii="Times New Roman" w:hAnsi="Times New Roman"/>
          <w:sz w:val="20"/>
        </w:rPr>
        <w:t xml:space="preserve"> </w:t>
      </w:r>
      <w:r w:rsidR="00FA2158" w:rsidRPr="00FA2158">
        <w:rPr>
          <w:rFonts w:ascii="Times New Roman" w:hAnsi="Times New Roman"/>
          <w:sz w:val="20"/>
        </w:rPr>
        <w:t>I am grateful to Damiano Sandri, Giovanni Dell’Ariccia, Soledad Martinez Peria, and Damien Capelle for comments and to Chenxu Fu for excellent research assistance.</w:t>
      </w:r>
      <w:r w:rsidR="00FA2158">
        <w:rPr>
          <w:rFonts w:ascii="Times New Roman" w:hAnsi="Times New Roman"/>
          <w:sz w:val="20"/>
        </w:rPr>
        <w:t xml:space="preserve"> </w:t>
      </w:r>
      <w:r w:rsidR="00FA2158" w:rsidRPr="00FA2158">
        <w:rPr>
          <w:rFonts w:ascii="Times New Roman" w:hAnsi="Times New Roman"/>
          <w:b/>
          <w:bCs/>
          <w:sz w:val="20"/>
        </w:rPr>
        <w:t>The views expressed herein are those of the author and should not be attributed to the IMF, its Executive Board, or its management</w:t>
      </w:r>
      <w:r w:rsidR="00FA2158" w:rsidRPr="00FA2158">
        <w:rPr>
          <w:rFonts w:ascii="Times New Roman" w:hAnsi="Times New Roman"/>
          <w:b/>
          <w:bCs/>
          <w:sz w:val="20"/>
        </w:rPr>
        <w:t>.</w:t>
      </w:r>
    </w:p>
  </w:footnote>
  <w:footnote w:id="2">
    <w:p w14:paraId="48710993" w14:textId="7C9F4317" w:rsidR="00EE6B7C" w:rsidRPr="00EE6B7C" w:rsidRDefault="00EE6B7C" w:rsidP="00EE6B7C">
      <w:pPr>
        <w:pStyle w:val="FootnoteText"/>
        <w:spacing w:line="240" w:lineRule="auto"/>
        <w:jc w:val="both"/>
        <w:rPr>
          <w:rFonts w:ascii="Times New Roman" w:hAnsi="Times New Roman"/>
          <w:sz w:val="20"/>
        </w:rPr>
      </w:pPr>
      <w:r w:rsidRPr="00EE6B7C">
        <w:rPr>
          <w:rStyle w:val="FootnoteReference"/>
          <w:rFonts w:ascii="Times New Roman" w:hAnsi="Times New Roman"/>
        </w:rPr>
        <w:footnoteRef/>
      </w:r>
      <w:r w:rsidRPr="00EE6B7C">
        <w:rPr>
          <w:rFonts w:ascii="Times New Roman" w:hAnsi="Times New Roman"/>
          <w:sz w:val="20"/>
        </w:rPr>
        <w:t xml:space="preserve"> For the literature on measuring the impact of quantitative easing programs in AEs since the global financial crisis, we refer to the</w:t>
      </w:r>
      <w:r>
        <w:rPr>
          <w:rFonts w:ascii="Times New Roman" w:hAnsi="Times New Roman"/>
          <w:sz w:val="20"/>
        </w:rPr>
        <w:t xml:space="preserve"> literature reviews</w:t>
      </w:r>
      <w:r w:rsidRPr="00EE6B7C">
        <w:rPr>
          <w:rFonts w:ascii="Times New Roman" w:hAnsi="Times New Roman"/>
          <w:sz w:val="20"/>
        </w:rPr>
        <w:t xml:space="preserve"> in Bhattarai and Neely (2020), Dell’Ariccia et al. (2018), </w:t>
      </w:r>
      <w:proofErr w:type="spellStart"/>
      <w:r w:rsidRPr="00EE6B7C">
        <w:rPr>
          <w:rFonts w:ascii="Times New Roman" w:hAnsi="Times New Roman"/>
          <w:sz w:val="20"/>
        </w:rPr>
        <w:t>Fabo</w:t>
      </w:r>
      <w:proofErr w:type="spellEnd"/>
      <w:r w:rsidRPr="00EE6B7C">
        <w:rPr>
          <w:rFonts w:ascii="Times New Roman" w:hAnsi="Times New Roman"/>
          <w:sz w:val="20"/>
        </w:rPr>
        <w:t xml:space="preserve"> et al. (2021), </w:t>
      </w:r>
      <w:proofErr w:type="spellStart"/>
      <w:r w:rsidRPr="00EE6B7C">
        <w:rPr>
          <w:rFonts w:ascii="Times New Roman" w:hAnsi="Times New Roman"/>
          <w:sz w:val="20"/>
        </w:rPr>
        <w:t>Kuttner</w:t>
      </w:r>
      <w:proofErr w:type="spellEnd"/>
      <w:r w:rsidRPr="00EE6B7C">
        <w:rPr>
          <w:rFonts w:ascii="Times New Roman" w:hAnsi="Times New Roman"/>
          <w:sz w:val="20"/>
        </w:rPr>
        <w:t xml:space="preserve"> (2018) and Lombardi et al. (2018).</w:t>
      </w:r>
    </w:p>
  </w:footnote>
  <w:footnote w:id="3">
    <w:p w14:paraId="51972872" w14:textId="05246EB6" w:rsidR="001D1DB8" w:rsidRPr="00F25B0E" w:rsidRDefault="001D1DB8" w:rsidP="001D1DB8">
      <w:pPr>
        <w:pStyle w:val="FootnoteText"/>
        <w:spacing w:line="240" w:lineRule="auto"/>
        <w:jc w:val="both"/>
        <w:rPr>
          <w:rFonts w:ascii="Times New Roman" w:hAnsi="Times New Roman"/>
          <w:sz w:val="20"/>
        </w:rPr>
      </w:pPr>
      <w:r w:rsidRPr="00F25B0E">
        <w:rPr>
          <w:rStyle w:val="FootnoteReference"/>
          <w:rFonts w:ascii="Times New Roman" w:hAnsi="Times New Roman"/>
        </w:rPr>
        <w:footnoteRef/>
      </w:r>
      <w:r w:rsidRPr="00F25B0E">
        <w:rPr>
          <w:rFonts w:ascii="Times New Roman" w:hAnsi="Times New Roman"/>
          <w:sz w:val="20"/>
        </w:rPr>
        <w:t xml:space="preserve"> </w:t>
      </w:r>
      <w:r>
        <w:rPr>
          <w:rFonts w:ascii="Times New Roman" w:hAnsi="Times New Roman"/>
          <w:sz w:val="20"/>
        </w:rPr>
        <w:t>For example,</w:t>
      </w:r>
      <w:r w:rsidRPr="00F25B0E">
        <w:rPr>
          <w:rFonts w:ascii="Times New Roman" w:hAnsi="Times New Roman"/>
          <w:sz w:val="20"/>
        </w:rPr>
        <w:t xml:space="preserve"> on </w:t>
      </w:r>
      <w:r>
        <w:rPr>
          <w:rFonts w:ascii="Times New Roman" w:hAnsi="Times New Roman"/>
          <w:sz w:val="20"/>
        </w:rPr>
        <w:t>4/</w:t>
      </w:r>
      <w:r w:rsidRPr="00F25B0E">
        <w:rPr>
          <w:rFonts w:ascii="Times New Roman" w:hAnsi="Times New Roman"/>
          <w:sz w:val="20"/>
        </w:rPr>
        <w:t>15</w:t>
      </w:r>
      <w:r>
        <w:rPr>
          <w:rFonts w:ascii="Times New Roman" w:hAnsi="Times New Roman"/>
          <w:sz w:val="20"/>
        </w:rPr>
        <w:t>/</w:t>
      </w:r>
      <w:r w:rsidRPr="00F25B0E">
        <w:rPr>
          <w:rFonts w:ascii="Times New Roman" w:hAnsi="Times New Roman"/>
          <w:sz w:val="20"/>
        </w:rPr>
        <w:t xml:space="preserve">2020, the Bank of Ghana announced </w:t>
      </w:r>
      <w:r>
        <w:rPr>
          <w:rFonts w:ascii="Times New Roman" w:hAnsi="Times New Roman"/>
          <w:sz w:val="20"/>
        </w:rPr>
        <w:t>it had</w:t>
      </w:r>
      <w:r w:rsidRPr="00F25B0E">
        <w:rPr>
          <w:rFonts w:ascii="Times New Roman" w:hAnsi="Times New Roman"/>
          <w:sz w:val="20"/>
        </w:rPr>
        <w:t xml:space="preserve"> purchased a Government of Ghana COVID-19 relief bond</w:t>
      </w:r>
      <w:r w:rsidR="009A33F2">
        <w:rPr>
          <w:rFonts w:ascii="Times New Roman" w:hAnsi="Times New Roman"/>
          <w:sz w:val="20"/>
        </w:rPr>
        <w:t xml:space="preserve"> on the primary market</w:t>
      </w:r>
      <w:r>
        <w:rPr>
          <w:rFonts w:ascii="Times New Roman" w:hAnsi="Times New Roman"/>
          <w:sz w:val="20"/>
        </w:rPr>
        <w:t xml:space="preserve"> and that “</w:t>
      </w:r>
      <w:r w:rsidRPr="00F25B0E">
        <w:rPr>
          <w:rFonts w:ascii="Times New Roman" w:hAnsi="Times New Roman"/>
          <w:sz w:val="20"/>
        </w:rPr>
        <w:t xml:space="preserve">The Bank stands ready to continue with its Asset Purchase </w:t>
      </w:r>
      <w:proofErr w:type="spellStart"/>
      <w:r w:rsidRPr="00F25B0E">
        <w:rPr>
          <w:rFonts w:ascii="Times New Roman" w:hAnsi="Times New Roman"/>
          <w:sz w:val="20"/>
        </w:rPr>
        <w:t>Programme</w:t>
      </w:r>
      <w:proofErr w:type="spellEnd"/>
      <w:r w:rsidRPr="00F25B0E">
        <w:rPr>
          <w:rFonts w:ascii="Times New Roman" w:hAnsi="Times New Roman"/>
          <w:sz w:val="20"/>
        </w:rPr>
        <w:t xml:space="preserve"> up to GH¢10 billion in line with the current estimates of the financing gap from the COVID-19 pandemic.”</w:t>
      </w:r>
    </w:p>
  </w:footnote>
  <w:footnote w:id="4">
    <w:p w14:paraId="1B9FA249" w14:textId="77777777" w:rsidR="00A06777" w:rsidRPr="00844543" w:rsidRDefault="00A06777" w:rsidP="00A06777">
      <w:pPr>
        <w:pStyle w:val="FootnoteText"/>
        <w:spacing w:line="240" w:lineRule="auto"/>
        <w:jc w:val="both"/>
        <w:rPr>
          <w:rFonts w:ascii="Times New Roman" w:hAnsi="Times New Roman"/>
          <w:sz w:val="20"/>
        </w:rPr>
      </w:pPr>
      <w:r w:rsidRPr="00844543">
        <w:rPr>
          <w:rStyle w:val="FootnoteReference"/>
          <w:rFonts w:ascii="Times New Roman" w:hAnsi="Times New Roman"/>
        </w:rPr>
        <w:footnoteRef/>
      </w:r>
      <w:r w:rsidRPr="00686BD4">
        <w:rPr>
          <w:rFonts w:ascii="Times New Roman" w:hAnsi="Times New Roman"/>
          <w:sz w:val="20"/>
          <w:lang w:val="nl-NL"/>
        </w:rPr>
        <w:t xml:space="preserve"> </w:t>
      </w:r>
      <w:r w:rsidRPr="00844543">
        <w:rPr>
          <w:rFonts w:ascii="Times New Roman" w:hAnsi="Times New Roman"/>
          <w:sz w:val="20"/>
          <w:lang w:val="nl-NL"/>
        </w:rPr>
        <w:t xml:space="preserve">Arena et al. (2021), </w:t>
      </w:r>
      <w:r w:rsidRPr="00686BD4">
        <w:rPr>
          <w:rFonts w:ascii="Times New Roman" w:hAnsi="Times New Roman"/>
          <w:sz w:val="20"/>
          <w:lang w:val="nl-NL"/>
        </w:rPr>
        <w:t>Arslan et al. (2020)</w:t>
      </w:r>
      <w:r w:rsidRPr="00844543">
        <w:rPr>
          <w:rFonts w:ascii="Times New Roman" w:hAnsi="Times New Roman"/>
          <w:sz w:val="20"/>
          <w:lang w:val="nl-NL"/>
        </w:rPr>
        <w:t xml:space="preserve">, </w:t>
      </w:r>
      <w:r w:rsidRPr="00686BD4">
        <w:rPr>
          <w:rFonts w:ascii="Times New Roman" w:hAnsi="Times New Roman"/>
          <w:sz w:val="20"/>
          <w:lang w:val="nl-NL"/>
        </w:rPr>
        <w:t xml:space="preserve">Fratto et al. </w:t>
      </w:r>
      <w:r w:rsidRPr="00BA4852">
        <w:rPr>
          <w:rFonts w:ascii="Times New Roman" w:hAnsi="Times New Roman"/>
          <w:sz w:val="20"/>
          <w:lang w:val="nl-NL"/>
        </w:rPr>
        <w:t xml:space="preserve">(2021), IMF (2020), Rebucci et al. </w:t>
      </w:r>
      <w:r w:rsidRPr="00686BD4">
        <w:rPr>
          <w:rFonts w:ascii="Times New Roman" w:hAnsi="Times New Roman"/>
          <w:sz w:val="20"/>
        </w:rPr>
        <w:t>(202</w:t>
      </w:r>
      <w:r>
        <w:rPr>
          <w:rFonts w:ascii="Times New Roman" w:hAnsi="Times New Roman"/>
          <w:sz w:val="20"/>
        </w:rPr>
        <w:t>2</w:t>
      </w:r>
      <w:r w:rsidRPr="00686BD4">
        <w:rPr>
          <w:rFonts w:ascii="Times New Roman" w:hAnsi="Times New Roman"/>
          <w:sz w:val="20"/>
        </w:rPr>
        <w:t>)</w:t>
      </w:r>
      <w:r w:rsidRPr="00844543">
        <w:rPr>
          <w:rFonts w:ascii="Times New Roman" w:hAnsi="Times New Roman"/>
          <w:sz w:val="20"/>
        </w:rPr>
        <w:t xml:space="preserve"> and </w:t>
      </w:r>
      <w:r w:rsidRPr="00686BD4">
        <w:rPr>
          <w:rFonts w:ascii="Times New Roman" w:hAnsi="Times New Roman"/>
          <w:sz w:val="20"/>
        </w:rPr>
        <w:t>Sever et al. (2020)</w:t>
      </w:r>
      <w:r w:rsidRPr="00844543">
        <w:rPr>
          <w:rFonts w:ascii="Times New Roman" w:hAnsi="Times New Roman"/>
          <w:sz w:val="20"/>
        </w:rPr>
        <w:t xml:space="preserve"> also consider UMPs during COVID, but </w:t>
      </w:r>
      <w:r>
        <w:rPr>
          <w:rFonts w:ascii="Times New Roman" w:hAnsi="Times New Roman"/>
          <w:sz w:val="20"/>
        </w:rPr>
        <w:t>focus on</w:t>
      </w:r>
      <w:r w:rsidRPr="00844543">
        <w:rPr>
          <w:rFonts w:ascii="Times New Roman" w:hAnsi="Times New Roman"/>
          <w:sz w:val="20"/>
        </w:rPr>
        <w:t xml:space="preserve"> the response of bond yields, whereas we focus on inflation expectations. To our knowledge, our sample of UMPs</w:t>
      </w:r>
      <w:r>
        <w:rPr>
          <w:rFonts w:ascii="Times New Roman" w:hAnsi="Times New Roman"/>
          <w:sz w:val="20"/>
        </w:rPr>
        <w:t xml:space="preserve"> during COVID</w:t>
      </w:r>
      <w:r w:rsidRPr="00844543">
        <w:rPr>
          <w:rFonts w:ascii="Times New Roman" w:hAnsi="Times New Roman"/>
          <w:sz w:val="20"/>
        </w:rPr>
        <w:t xml:space="preserve"> is</w:t>
      </w:r>
      <w:r>
        <w:rPr>
          <w:rFonts w:ascii="Times New Roman" w:hAnsi="Times New Roman"/>
          <w:sz w:val="20"/>
        </w:rPr>
        <w:t xml:space="preserve"> also</w:t>
      </w:r>
      <w:r w:rsidRPr="00844543">
        <w:rPr>
          <w:rFonts w:ascii="Times New Roman" w:hAnsi="Times New Roman"/>
          <w:sz w:val="20"/>
        </w:rPr>
        <w:t xml:space="preserve"> the largest to date</w:t>
      </w:r>
      <w:r>
        <w:rPr>
          <w:rFonts w:ascii="Times New Roman" w:hAnsi="Times New Roman"/>
          <w:sz w:val="20"/>
        </w:rPr>
        <w:t xml:space="preserve"> and particularly expands on the coverage of EMDEs, including their DGF programs.</w:t>
      </w:r>
    </w:p>
  </w:footnote>
  <w:footnote w:id="5">
    <w:p w14:paraId="2EF78E55" w14:textId="77777777" w:rsidR="001D1DB8" w:rsidRPr="00844543" w:rsidRDefault="001D1DB8" w:rsidP="001D1DB8">
      <w:pPr>
        <w:pStyle w:val="FootnoteText"/>
        <w:spacing w:line="240" w:lineRule="auto"/>
        <w:jc w:val="both"/>
        <w:rPr>
          <w:rFonts w:ascii="Times New Roman" w:hAnsi="Times New Roman"/>
          <w:sz w:val="20"/>
        </w:rPr>
      </w:pPr>
      <w:r w:rsidRPr="00844543">
        <w:rPr>
          <w:rStyle w:val="FootnoteReference"/>
          <w:rFonts w:ascii="Times New Roman" w:hAnsi="Times New Roman"/>
        </w:rPr>
        <w:footnoteRef/>
      </w:r>
      <w:r w:rsidRPr="00844543">
        <w:rPr>
          <w:rFonts w:ascii="Times New Roman" w:hAnsi="Times New Roman"/>
          <w:sz w:val="20"/>
        </w:rPr>
        <w:t xml:space="preserve"> </w:t>
      </w:r>
      <w:r>
        <w:rPr>
          <w:rFonts w:ascii="Times New Roman" w:hAnsi="Times New Roman"/>
          <w:sz w:val="20"/>
        </w:rPr>
        <w:t>The s</w:t>
      </w:r>
      <w:r w:rsidRPr="00844543">
        <w:rPr>
          <w:rFonts w:ascii="Times New Roman" w:hAnsi="Times New Roman"/>
          <w:sz w:val="20"/>
        </w:rPr>
        <w:t xml:space="preserve">ources used </w:t>
      </w:r>
      <w:r>
        <w:rPr>
          <w:rFonts w:ascii="Times New Roman" w:hAnsi="Times New Roman"/>
          <w:sz w:val="20"/>
        </w:rPr>
        <w:t>for</w:t>
      </w:r>
      <w:r w:rsidRPr="00844543">
        <w:rPr>
          <w:rFonts w:ascii="Times New Roman" w:hAnsi="Times New Roman"/>
          <w:sz w:val="20"/>
        </w:rPr>
        <w:t xml:space="preserve"> this are</w:t>
      </w:r>
      <w:r>
        <w:rPr>
          <w:rFonts w:ascii="Times New Roman" w:hAnsi="Times New Roman"/>
          <w:sz w:val="20"/>
        </w:rPr>
        <w:t>:</w:t>
      </w:r>
      <w:r w:rsidRPr="00844543">
        <w:rPr>
          <w:rFonts w:ascii="Times New Roman" w:hAnsi="Times New Roman"/>
          <w:sz w:val="20"/>
        </w:rPr>
        <w:t xml:space="preserve"> </w:t>
      </w:r>
      <w:hyperlink r:id="rId2" w:history="1">
        <w:r w:rsidRPr="00844543">
          <w:rPr>
            <w:rStyle w:val="Hyperlink"/>
            <w:rFonts w:ascii="Times New Roman" w:hAnsi="Times New Roman"/>
            <w:sz w:val="20"/>
          </w:rPr>
          <w:t>IMF COVID-19 policies tracker</w:t>
        </w:r>
      </w:hyperlink>
      <w:r>
        <w:rPr>
          <w:rFonts w:ascii="Times New Roman" w:hAnsi="Times New Roman"/>
          <w:sz w:val="20"/>
        </w:rPr>
        <w:t>;</w:t>
      </w:r>
      <w:r w:rsidRPr="00844543">
        <w:rPr>
          <w:rFonts w:ascii="Times New Roman" w:hAnsi="Times New Roman"/>
          <w:sz w:val="20"/>
        </w:rPr>
        <w:t xml:space="preserve"> </w:t>
      </w:r>
      <w:hyperlink r:id="rId3" w:history="1">
        <w:r w:rsidRPr="00844543">
          <w:rPr>
            <w:rStyle w:val="Hyperlink"/>
            <w:rFonts w:ascii="Times New Roman" w:hAnsi="Times New Roman"/>
            <w:sz w:val="20"/>
          </w:rPr>
          <w:t>Yale COVID-19 financial responses tracker</w:t>
        </w:r>
      </w:hyperlink>
      <w:r>
        <w:rPr>
          <w:rFonts w:ascii="Times New Roman" w:hAnsi="Times New Roman"/>
          <w:sz w:val="20"/>
        </w:rPr>
        <w:t>;</w:t>
      </w:r>
      <w:r w:rsidRPr="00844543">
        <w:rPr>
          <w:rFonts w:ascii="Times New Roman" w:hAnsi="Times New Roman"/>
          <w:sz w:val="20"/>
        </w:rPr>
        <w:t xml:space="preserve"> </w:t>
      </w:r>
      <w:hyperlink r:id="rId4" w:history="1">
        <w:r w:rsidRPr="00844543">
          <w:rPr>
            <w:rStyle w:val="Hyperlink"/>
            <w:rFonts w:ascii="Times New Roman" w:hAnsi="Times New Roman"/>
            <w:sz w:val="20"/>
          </w:rPr>
          <w:t>ESRB COVID-19 measures tracker</w:t>
        </w:r>
      </w:hyperlink>
      <w:r>
        <w:rPr>
          <w:rFonts w:ascii="Times New Roman" w:hAnsi="Times New Roman"/>
          <w:sz w:val="20"/>
        </w:rPr>
        <w:t>;</w:t>
      </w:r>
      <w:r w:rsidRPr="00844543">
        <w:rPr>
          <w:rFonts w:ascii="Times New Roman" w:hAnsi="Times New Roman"/>
          <w:sz w:val="20"/>
        </w:rPr>
        <w:t xml:space="preserve"> </w:t>
      </w:r>
      <w:hyperlink r:id="rId5" w:history="1">
        <w:r w:rsidRPr="00844543">
          <w:rPr>
            <w:rStyle w:val="Hyperlink"/>
            <w:rFonts w:ascii="Times New Roman" w:hAnsi="Times New Roman"/>
            <w:sz w:val="20"/>
          </w:rPr>
          <w:t>IMF</w:t>
        </w:r>
        <w:r>
          <w:rPr>
            <w:rStyle w:val="Hyperlink"/>
            <w:rFonts w:ascii="Times New Roman" w:hAnsi="Times New Roman"/>
            <w:sz w:val="20"/>
          </w:rPr>
          <w:t xml:space="preserve"> MFS</w:t>
        </w:r>
      </w:hyperlink>
      <w:r>
        <w:rPr>
          <w:rFonts w:ascii="Times New Roman" w:hAnsi="Times New Roman"/>
          <w:sz w:val="20"/>
        </w:rPr>
        <w:t>;</w:t>
      </w:r>
      <w:r w:rsidRPr="00844543">
        <w:rPr>
          <w:rFonts w:ascii="Times New Roman" w:hAnsi="Times New Roman"/>
          <w:sz w:val="20"/>
        </w:rPr>
        <w:t xml:space="preserve"> </w:t>
      </w:r>
      <w:r>
        <w:rPr>
          <w:rFonts w:ascii="Times New Roman" w:hAnsi="Times New Roman"/>
          <w:sz w:val="20"/>
        </w:rPr>
        <w:t xml:space="preserve">IMF (2020); </w:t>
      </w:r>
      <w:r w:rsidRPr="00E77610">
        <w:rPr>
          <w:rFonts w:ascii="Times New Roman" w:hAnsi="Times New Roman"/>
          <w:sz w:val="20"/>
        </w:rPr>
        <w:t>Cerutti and Helbling (2021)</w:t>
      </w:r>
      <w:r>
        <w:rPr>
          <w:rFonts w:ascii="Times New Roman" w:hAnsi="Times New Roman"/>
          <w:sz w:val="20"/>
        </w:rPr>
        <w:t>;</w:t>
      </w:r>
      <w:r w:rsidRPr="00844543">
        <w:rPr>
          <w:rFonts w:ascii="Times New Roman" w:hAnsi="Times New Roman"/>
          <w:sz w:val="20"/>
        </w:rPr>
        <w:t xml:space="preserve"> and national authorities.</w:t>
      </w:r>
    </w:p>
  </w:footnote>
  <w:footnote w:id="6">
    <w:p w14:paraId="6A606AA4" w14:textId="76CBDDD6" w:rsidR="00863F07" w:rsidRDefault="00863F07" w:rsidP="00BC34EE">
      <w:pPr>
        <w:pStyle w:val="FootnoteText"/>
        <w:spacing w:line="240" w:lineRule="auto"/>
        <w:jc w:val="both"/>
      </w:pPr>
      <w:r w:rsidRPr="00BC34EE">
        <w:rPr>
          <w:rStyle w:val="FootnoteReference"/>
          <w:rFonts w:ascii="Times New Roman" w:hAnsi="Times New Roman"/>
        </w:rPr>
        <w:footnoteRef/>
      </w:r>
      <w:r w:rsidRPr="00BC34EE">
        <w:rPr>
          <w:rFonts w:ascii="Times New Roman" w:hAnsi="Times New Roman"/>
          <w:sz w:val="20"/>
        </w:rPr>
        <w:t xml:space="preserve"> These measures represent inflation expectations among professional forecasters, available for </w:t>
      </w:r>
      <w:r w:rsidR="007E4BAA">
        <w:rPr>
          <w:rFonts w:ascii="Times New Roman" w:hAnsi="Times New Roman"/>
          <w:sz w:val="20"/>
        </w:rPr>
        <w:t>many</w:t>
      </w:r>
      <w:r w:rsidRPr="00BC34EE">
        <w:rPr>
          <w:rFonts w:ascii="Times New Roman" w:hAnsi="Times New Roman"/>
          <w:sz w:val="20"/>
        </w:rPr>
        <w:t xml:space="preserve"> countries. For a few countries, there is evidence that household inflation expectations</w:t>
      </w:r>
      <w:r w:rsidR="007E4BAA">
        <w:rPr>
          <w:rFonts w:ascii="Times New Roman" w:hAnsi="Times New Roman"/>
          <w:sz w:val="20"/>
        </w:rPr>
        <w:t xml:space="preserve"> positively</w:t>
      </w:r>
      <w:r w:rsidRPr="00BC34EE">
        <w:rPr>
          <w:rFonts w:ascii="Times New Roman" w:hAnsi="Times New Roman"/>
          <w:sz w:val="20"/>
        </w:rPr>
        <w:t xml:space="preserve"> diverged from those of professional forecasters when COVID first spread (Binder, 2020; Coleman and </w:t>
      </w:r>
      <w:proofErr w:type="spellStart"/>
      <w:r w:rsidRPr="00BC34EE">
        <w:rPr>
          <w:rFonts w:ascii="Times New Roman" w:hAnsi="Times New Roman"/>
          <w:sz w:val="20"/>
        </w:rPr>
        <w:t>Nautz</w:t>
      </w:r>
      <w:proofErr w:type="spellEnd"/>
      <w:r w:rsidRPr="00BC34EE">
        <w:rPr>
          <w:rFonts w:ascii="Times New Roman" w:hAnsi="Times New Roman"/>
          <w:sz w:val="20"/>
        </w:rPr>
        <w:t xml:space="preserve">, 2021). However, Binder (2020) finds that these differences </w:t>
      </w:r>
      <w:r w:rsidR="007E4BAA">
        <w:rPr>
          <w:rFonts w:ascii="Times New Roman" w:hAnsi="Times New Roman"/>
          <w:sz w:val="20"/>
        </w:rPr>
        <w:t xml:space="preserve">did not </w:t>
      </w:r>
      <w:r w:rsidRPr="00BC34EE">
        <w:rPr>
          <w:rFonts w:ascii="Times New Roman" w:hAnsi="Times New Roman"/>
          <w:sz w:val="20"/>
        </w:rPr>
        <w:t>pertain</w:t>
      </w:r>
      <w:r w:rsidR="007E4BAA">
        <w:rPr>
          <w:rFonts w:ascii="Times New Roman" w:hAnsi="Times New Roman"/>
          <w:sz w:val="20"/>
        </w:rPr>
        <w:t xml:space="preserve"> to</w:t>
      </w:r>
      <w:r w:rsidRPr="00BC34EE">
        <w:rPr>
          <w:rFonts w:ascii="Times New Roman" w:hAnsi="Times New Roman"/>
          <w:sz w:val="20"/>
        </w:rPr>
        <w:t xml:space="preserve"> the actions of monetary authoritie</w:t>
      </w:r>
      <w:r w:rsidR="007E4BAA">
        <w:rPr>
          <w:rFonts w:ascii="Times New Roman" w:hAnsi="Times New Roman"/>
          <w:sz w:val="20"/>
        </w:rPr>
        <w:t>s (in fact, when uninformed households were told of the monetary policy actions, their inflation expectations declined)</w:t>
      </w:r>
      <w:r w:rsidRPr="00BC34EE">
        <w:rPr>
          <w:rFonts w:ascii="Times New Roman" w:hAnsi="Times New Roman"/>
          <w:sz w:val="20"/>
        </w:rPr>
        <w:t>.</w:t>
      </w:r>
    </w:p>
  </w:footnote>
  <w:footnote w:id="7">
    <w:p w14:paraId="2ABFA495" w14:textId="060A4F7C" w:rsidR="000665B3" w:rsidRDefault="000665B3" w:rsidP="00BC34EE">
      <w:pPr>
        <w:pStyle w:val="FootnoteText"/>
        <w:spacing w:line="240" w:lineRule="auto"/>
        <w:jc w:val="both"/>
      </w:pPr>
      <w:r w:rsidRPr="00BC34EE">
        <w:rPr>
          <w:rStyle w:val="FootnoteReference"/>
          <w:rFonts w:ascii="Times New Roman" w:hAnsi="Times New Roman"/>
        </w:rPr>
        <w:footnoteRef/>
      </w:r>
      <w:r w:rsidRPr="00BC34EE">
        <w:rPr>
          <w:rFonts w:ascii="Times New Roman" w:hAnsi="Times New Roman"/>
          <w:sz w:val="20"/>
        </w:rPr>
        <w:t xml:space="preserve"> All regressions are conducted in levels, which is consistent with the literature</w:t>
      </w:r>
      <w:r w:rsidR="00D672AB">
        <w:rPr>
          <w:rFonts w:ascii="Times New Roman" w:hAnsi="Times New Roman"/>
          <w:sz w:val="20"/>
        </w:rPr>
        <w:t xml:space="preserve"> on the determinants of inflation</w:t>
      </w:r>
      <w:r w:rsidRPr="00BC34EE">
        <w:rPr>
          <w:rFonts w:ascii="Times New Roman" w:hAnsi="Times New Roman"/>
          <w:sz w:val="20"/>
        </w:rPr>
        <w:t xml:space="preserve">. See, for example, </w:t>
      </w:r>
      <w:proofErr w:type="spellStart"/>
      <w:r w:rsidRPr="00BC34EE">
        <w:rPr>
          <w:rFonts w:ascii="Times New Roman" w:hAnsi="Times New Roman"/>
          <w:sz w:val="20"/>
        </w:rPr>
        <w:t>Dincer</w:t>
      </w:r>
      <w:proofErr w:type="spellEnd"/>
      <w:r w:rsidRPr="00BC34EE">
        <w:rPr>
          <w:rFonts w:ascii="Times New Roman" w:hAnsi="Times New Roman"/>
          <w:sz w:val="20"/>
        </w:rPr>
        <w:t xml:space="preserve"> and </w:t>
      </w:r>
      <w:proofErr w:type="spellStart"/>
      <w:r w:rsidRPr="00BC34EE">
        <w:rPr>
          <w:rFonts w:ascii="Times New Roman" w:hAnsi="Times New Roman"/>
          <w:sz w:val="20"/>
        </w:rPr>
        <w:t>Eichengreen</w:t>
      </w:r>
      <w:proofErr w:type="spellEnd"/>
      <w:r w:rsidRPr="00BC34EE">
        <w:rPr>
          <w:rFonts w:ascii="Times New Roman" w:hAnsi="Times New Roman"/>
          <w:sz w:val="20"/>
        </w:rPr>
        <w:t xml:space="preserve"> (2014), Garriga and Rodriguez (2020) and Klomp and De </w:t>
      </w:r>
      <w:proofErr w:type="spellStart"/>
      <w:r w:rsidRPr="00BC34EE">
        <w:rPr>
          <w:rFonts w:ascii="Times New Roman" w:hAnsi="Times New Roman"/>
          <w:sz w:val="20"/>
        </w:rPr>
        <w:t>Haan</w:t>
      </w:r>
      <w:proofErr w:type="spellEnd"/>
      <w:r w:rsidRPr="00BC34EE">
        <w:rPr>
          <w:rFonts w:ascii="Times New Roman" w:hAnsi="Times New Roman"/>
          <w:sz w:val="20"/>
        </w:rPr>
        <w:t xml:space="preserve"> (2010).</w:t>
      </w:r>
    </w:p>
  </w:footnote>
  <w:footnote w:id="8">
    <w:p w14:paraId="0A714BA3" w14:textId="6C9C63EB" w:rsidR="00B56CA1" w:rsidRDefault="00B56CA1">
      <w:pPr>
        <w:pStyle w:val="FootnoteText"/>
      </w:pPr>
      <w:r w:rsidRPr="00B56CA1">
        <w:rPr>
          <w:rStyle w:val="FootnoteReference"/>
          <w:rFonts w:ascii="Times New Roman" w:hAnsi="Times New Roman"/>
        </w:rPr>
        <w:footnoteRef/>
      </w:r>
      <w:r w:rsidRPr="00B56CA1">
        <w:rPr>
          <w:rFonts w:ascii="Times New Roman" w:hAnsi="Times New Roman"/>
        </w:rPr>
        <w:t xml:space="preserve"> </w:t>
      </w:r>
      <w:r w:rsidRPr="00B56CA1">
        <w:rPr>
          <w:rFonts w:ascii="Times New Roman" w:hAnsi="Times New Roman"/>
          <w:sz w:val="20"/>
        </w:rPr>
        <w:t>We also include a dummy for Mauritius which is an EMDE outlier in UMP size (Figure 1)</w:t>
      </w:r>
      <w:r>
        <w:rPr>
          <w:rFonts w:ascii="Times New Roman" w:hAnsi="Times New Roman"/>
          <w:sz w:val="20"/>
        </w:rPr>
        <w:t>.</w:t>
      </w:r>
    </w:p>
  </w:footnote>
  <w:footnote w:id="9">
    <w:p w14:paraId="5239AC11" w14:textId="77777777" w:rsidR="00D03053" w:rsidRPr="00844543" w:rsidRDefault="00D03053" w:rsidP="00D03053">
      <w:pPr>
        <w:pStyle w:val="FootnoteText"/>
        <w:spacing w:line="240" w:lineRule="auto"/>
        <w:jc w:val="both"/>
        <w:rPr>
          <w:rFonts w:ascii="Times New Roman" w:hAnsi="Times New Roman"/>
          <w:sz w:val="20"/>
        </w:rPr>
      </w:pPr>
      <w:r w:rsidRPr="00844543">
        <w:rPr>
          <w:rStyle w:val="FootnoteReference"/>
          <w:rFonts w:ascii="Times New Roman" w:hAnsi="Times New Roman"/>
        </w:rPr>
        <w:footnoteRef/>
      </w:r>
      <w:r w:rsidRPr="00844543">
        <w:rPr>
          <w:rFonts w:ascii="Times New Roman" w:hAnsi="Times New Roman"/>
          <w:sz w:val="20"/>
        </w:rPr>
        <w:t xml:space="preserve"> Many of these specifications have smaller sample sizes than the baseline, because the additional variables are not available for all countries in the sample.</w:t>
      </w:r>
    </w:p>
  </w:footnote>
  <w:footnote w:id="10">
    <w:p w14:paraId="237AEF6B" w14:textId="5E62B1FE" w:rsidR="001D1DB8" w:rsidRPr="00704A4E" w:rsidRDefault="001D1DB8" w:rsidP="001D1DB8">
      <w:pPr>
        <w:pStyle w:val="FootnoteText"/>
        <w:spacing w:line="276" w:lineRule="auto"/>
        <w:jc w:val="both"/>
        <w:rPr>
          <w:rFonts w:ascii="Times New Roman" w:hAnsi="Times New Roman"/>
          <w:szCs w:val="16"/>
        </w:rPr>
      </w:pPr>
      <w:r w:rsidRPr="00844543">
        <w:rPr>
          <w:rStyle w:val="FootnoteReference"/>
          <w:rFonts w:ascii="Times New Roman" w:hAnsi="Times New Roman"/>
        </w:rPr>
        <w:footnoteRef/>
      </w:r>
      <w:r w:rsidRPr="00844543">
        <w:rPr>
          <w:rFonts w:ascii="Times New Roman" w:hAnsi="Times New Roman"/>
          <w:sz w:val="20"/>
        </w:rPr>
        <w:t xml:space="preserve"> See the note to Table </w:t>
      </w:r>
      <w:r w:rsidR="00173D4F">
        <w:rPr>
          <w:rFonts w:ascii="Times New Roman" w:hAnsi="Times New Roman"/>
          <w:sz w:val="20"/>
        </w:rPr>
        <w:t>2</w:t>
      </w:r>
      <w:r w:rsidRPr="00844543">
        <w:rPr>
          <w:rFonts w:ascii="Times New Roman" w:hAnsi="Times New Roman"/>
          <w:sz w:val="20"/>
        </w:rPr>
        <w:t xml:space="preserve"> for additional detail.</w:t>
      </w:r>
    </w:p>
  </w:footnote>
  <w:footnote w:id="11">
    <w:p w14:paraId="37ADC25C" w14:textId="6F943E7C" w:rsidR="000E5ED6" w:rsidRPr="000E5ED6" w:rsidRDefault="000E5ED6">
      <w:pPr>
        <w:pStyle w:val="FootnoteText"/>
        <w:rPr>
          <w:rFonts w:ascii="Times New Roman" w:hAnsi="Times New Roman"/>
          <w:sz w:val="20"/>
        </w:rPr>
      </w:pPr>
      <w:r w:rsidRPr="000E5ED6">
        <w:rPr>
          <w:rStyle w:val="FootnoteReference"/>
          <w:rFonts w:ascii="Times New Roman" w:hAnsi="Times New Roman"/>
        </w:rPr>
        <w:footnoteRef/>
      </w:r>
      <w:r w:rsidRPr="000E5ED6">
        <w:rPr>
          <w:rFonts w:ascii="Times New Roman" w:hAnsi="Times New Roman"/>
          <w:sz w:val="20"/>
        </w:rPr>
        <w:t xml:space="preserve"> An interaction dummy is needed here</w:t>
      </w:r>
      <w:r w:rsidR="00BA3651">
        <w:rPr>
          <w:rFonts w:ascii="Times New Roman" w:hAnsi="Times New Roman"/>
          <w:sz w:val="20"/>
        </w:rPr>
        <w:t>:</w:t>
      </w:r>
      <w:r w:rsidRPr="000E5ED6">
        <w:rPr>
          <w:rFonts w:ascii="Times New Roman" w:hAnsi="Times New Roman"/>
          <w:sz w:val="20"/>
        </w:rPr>
        <w:t xml:space="preserve"> a simple DGF dummy would be subsumed by the country fixed effects.</w:t>
      </w:r>
    </w:p>
  </w:footnote>
  <w:footnote w:id="12">
    <w:p w14:paraId="6B296B6C" w14:textId="7713950D" w:rsidR="00704A4E" w:rsidRPr="00704A4E" w:rsidRDefault="00704A4E">
      <w:pPr>
        <w:pStyle w:val="FootnoteText"/>
        <w:rPr>
          <w:sz w:val="20"/>
        </w:rPr>
      </w:pPr>
      <w:r w:rsidRPr="00704A4E">
        <w:rPr>
          <w:rStyle w:val="FootnoteReference"/>
          <w:rFonts w:ascii="Times New Roman" w:hAnsi="Times New Roman"/>
        </w:rPr>
        <w:footnoteRef/>
      </w:r>
      <w:r w:rsidRPr="00704A4E">
        <w:rPr>
          <w:rFonts w:ascii="Times New Roman" w:hAnsi="Times New Roman"/>
          <w:sz w:val="20"/>
        </w:rPr>
        <w:t xml:space="preserve"> We note that </w:t>
      </w:r>
      <w:r>
        <w:rPr>
          <w:rFonts w:ascii="Times New Roman" w:hAnsi="Times New Roman"/>
          <w:sz w:val="20"/>
        </w:rPr>
        <w:t>all regressions</w:t>
      </w:r>
      <w:r w:rsidR="004A3F3B">
        <w:rPr>
          <w:rFonts w:ascii="Times New Roman" w:hAnsi="Times New Roman"/>
          <w:sz w:val="20"/>
        </w:rPr>
        <w:t xml:space="preserve"> in Tables 1 and 2</w:t>
      </w:r>
      <w:r>
        <w:rPr>
          <w:rFonts w:ascii="Times New Roman" w:hAnsi="Times New Roman"/>
          <w:sz w:val="20"/>
        </w:rPr>
        <w:t xml:space="preserve"> </w:t>
      </w:r>
      <w:r w:rsidR="000E5ED6">
        <w:rPr>
          <w:rFonts w:ascii="Times New Roman" w:hAnsi="Times New Roman"/>
          <w:sz w:val="20"/>
        </w:rPr>
        <w:t xml:space="preserve">appear to have decent explanatory power, with the lowest </w:t>
      </w:r>
      <w:r w:rsidR="0081594B">
        <w:rPr>
          <w:rFonts w:ascii="Times New Roman" w:hAnsi="Times New Roman"/>
          <w:sz w:val="20"/>
        </w:rPr>
        <w:t>R</w:t>
      </w:r>
      <w:r w:rsidR="000E5ED6" w:rsidRPr="0081594B">
        <w:rPr>
          <w:rFonts w:ascii="Times New Roman" w:hAnsi="Times New Roman"/>
          <w:sz w:val="20"/>
          <w:vertAlign w:val="superscript"/>
        </w:rPr>
        <w:t>2</w:t>
      </w:r>
      <w:r w:rsidR="000E5ED6">
        <w:rPr>
          <w:rFonts w:ascii="Times New Roman" w:hAnsi="Times New Roman"/>
          <w:sz w:val="20"/>
        </w:rPr>
        <w:t xml:space="preserve"> being 0.75.</w:t>
      </w:r>
    </w:p>
  </w:footnote>
  <w:footnote w:id="13">
    <w:p w14:paraId="3E3F975D" w14:textId="77777777" w:rsidR="001D1DB8" w:rsidRPr="00E1208E" w:rsidRDefault="001D1DB8" w:rsidP="001D1DB8">
      <w:pPr>
        <w:pStyle w:val="FootnoteText"/>
        <w:spacing w:line="240" w:lineRule="auto"/>
        <w:rPr>
          <w:rFonts w:ascii="Times New Roman" w:hAnsi="Times New Roman"/>
          <w:sz w:val="20"/>
        </w:rPr>
      </w:pPr>
      <w:r w:rsidRPr="00E1208E">
        <w:rPr>
          <w:rStyle w:val="FootnoteReference"/>
          <w:rFonts w:ascii="Times New Roman" w:hAnsi="Times New Roman"/>
        </w:rPr>
        <w:footnoteRef/>
      </w:r>
      <w:r w:rsidRPr="00E1208E">
        <w:rPr>
          <w:rFonts w:ascii="Times New Roman" w:hAnsi="Times New Roman"/>
          <w:sz w:val="20"/>
        </w:rPr>
        <w:t xml:space="preserve"> For UMP programs in the “other” category, see the 2021 IMF Staff Reports on </w:t>
      </w:r>
      <w:hyperlink r:id="rId6" w:history="1">
        <w:r w:rsidRPr="00E1208E">
          <w:rPr>
            <w:rStyle w:val="Hyperlink"/>
            <w:rFonts w:ascii="Times New Roman" w:hAnsi="Times New Roman"/>
            <w:sz w:val="20"/>
          </w:rPr>
          <w:t>W</w:t>
        </w:r>
        <w:r>
          <w:rPr>
            <w:rStyle w:val="Hyperlink"/>
            <w:rFonts w:ascii="Times New Roman" w:hAnsi="Times New Roman"/>
            <w:sz w:val="20"/>
          </w:rPr>
          <w:t>AEMU</w:t>
        </w:r>
      </w:hyperlink>
      <w:r w:rsidRPr="00E1208E">
        <w:rPr>
          <w:rFonts w:ascii="Times New Roman" w:hAnsi="Times New Roman"/>
          <w:sz w:val="20"/>
        </w:rPr>
        <w:t xml:space="preserve"> and </w:t>
      </w:r>
      <w:hyperlink r:id="rId7" w:history="1">
        <w:r w:rsidRPr="00E1208E">
          <w:rPr>
            <w:rStyle w:val="Hyperlink"/>
            <w:rFonts w:ascii="Times New Roman" w:hAnsi="Times New Roman"/>
            <w:sz w:val="20"/>
          </w:rPr>
          <w:t>Malaysia</w:t>
        </w:r>
      </w:hyperlink>
      <w:r w:rsidRPr="00E1208E">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E078"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092E"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0" w15:restartNumberingAfterBreak="0">
    <w:nsid w:val="72946594"/>
    <w:multiLevelType w:val="hybridMultilevel"/>
    <w:tmpl w:val="8C88D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67"/>
    <w:rsid w:val="00014F19"/>
    <w:rsid w:val="00051173"/>
    <w:rsid w:val="00057CFF"/>
    <w:rsid w:val="000665B3"/>
    <w:rsid w:val="00070765"/>
    <w:rsid w:val="000717D1"/>
    <w:rsid w:val="0007242F"/>
    <w:rsid w:val="000967F0"/>
    <w:rsid w:val="000A1AEE"/>
    <w:rsid w:val="000B7010"/>
    <w:rsid w:val="000E5ED6"/>
    <w:rsid w:val="000F3407"/>
    <w:rsid w:val="000F5251"/>
    <w:rsid w:val="000F6A4B"/>
    <w:rsid w:val="0011765A"/>
    <w:rsid w:val="0013076D"/>
    <w:rsid w:val="0016239C"/>
    <w:rsid w:val="00170414"/>
    <w:rsid w:val="00173D4F"/>
    <w:rsid w:val="001D081E"/>
    <w:rsid w:val="001D1DB8"/>
    <w:rsid w:val="001D70A0"/>
    <w:rsid w:val="001F1D17"/>
    <w:rsid w:val="001F73C3"/>
    <w:rsid w:val="00212EEA"/>
    <w:rsid w:val="00232FB2"/>
    <w:rsid w:val="00235CB4"/>
    <w:rsid w:val="002811A1"/>
    <w:rsid w:val="002943D1"/>
    <w:rsid w:val="0029479F"/>
    <w:rsid w:val="00325E95"/>
    <w:rsid w:val="00361075"/>
    <w:rsid w:val="00361BBE"/>
    <w:rsid w:val="003712A7"/>
    <w:rsid w:val="00375397"/>
    <w:rsid w:val="00381B79"/>
    <w:rsid w:val="00382DA8"/>
    <w:rsid w:val="00393E59"/>
    <w:rsid w:val="003C3351"/>
    <w:rsid w:val="003C5BF0"/>
    <w:rsid w:val="003C7C91"/>
    <w:rsid w:val="003D2443"/>
    <w:rsid w:val="003D2B61"/>
    <w:rsid w:val="003D4D17"/>
    <w:rsid w:val="003F3D07"/>
    <w:rsid w:val="003F500E"/>
    <w:rsid w:val="00400A51"/>
    <w:rsid w:val="00436DF0"/>
    <w:rsid w:val="00441138"/>
    <w:rsid w:val="00451C7E"/>
    <w:rsid w:val="004645BD"/>
    <w:rsid w:val="004764D9"/>
    <w:rsid w:val="004A3F3B"/>
    <w:rsid w:val="004B524F"/>
    <w:rsid w:val="004C1A93"/>
    <w:rsid w:val="004D2CE1"/>
    <w:rsid w:val="004F3DA7"/>
    <w:rsid w:val="00500FA2"/>
    <w:rsid w:val="00506E22"/>
    <w:rsid w:val="005122F5"/>
    <w:rsid w:val="00522189"/>
    <w:rsid w:val="005257C2"/>
    <w:rsid w:val="00527B01"/>
    <w:rsid w:val="00531040"/>
    <w:rsid w:val="005322BB"/>
    <w:rsid w:val="00544FF2"/>
    <w:rsid w:val="005577AA"/>
    <w:rsid w:val="00566FEF"/>
    <w:rsid w:val="00586547"/>
    <w:rsid w:val="005A40BA"/>
    <w:rsid w:val="005B6103"/>
    <w:rsid w:val="005C0460"/>
    <w:rsid w:val="005F6036"/>
    <w:rsid w:val="005F722E"/>
    <w:rsid w:val="0060374F"/>
    <w:rsid w:val="0061550F"/>
    <w:rsid w:val="00644B27"/>
    <w:rsid w:val="00652D0F"/>
    <w:rsid w:val="00663D6A"/>
    <w:rsid w:val="00686BD4"/>
    <w:rsid w:val="006C41BB"/>
    <w:rsid w:val="006D023C"/>
    <w:rsid w:val="006D6BC5"/>
    <w:rsid w:val="006E4371"/>
    <w:rsid w:val="006F658C"/>
    <w:rsid w:val="00704A4E"/>
    <w:rsid w:val="0072705B"/>
    <w:rsid w:val="007403AE"/>
    <w:rsid w:val="00746F98"/>
    <w:rsid w:val="00756B67"/>
    <w:rsid w:val="00766DA2"/>
    <w:rsid w:val="00784D20"/>
    <w:rsid w:val="00785FE0"/>
    <w:rsid w:val="007E2F5B"/>
    <w:rsid w:val="007E4BAA"/>
    <w:rsid w:val="007F425F"/>
    <w:rsid w:val="007F47DE"/>
    <w:rsid w:val="007F4D61"/>
    <w:rsid w:val="00807E50"/>
    <w:rsid w:val="00814245"/>
    <w:rsid w:val="0081594B"/>
    <w:rsid w:val="00834E6F"/>
    <w:rsid w:val="00844543"/>
    <w:rsid w:val="00846F5F"/>
    <w:rsid w:val="00863F07"/>
    <w:rsid w:val="00864C40"/>
    <w:rsid w:val="008A3DEB"/>
    <w:rsid w:val="008C3796"/>
    <w:rsid w:val="008D1274"/>
    <w:rsid w:val="008D30E8"/>
    <w:rsid w:val="00910DA5"/>
    <w:rsid w:val="00923D63"/>
    <w:rsid w:val="0092408B"/>
    <w:rsid w:val="00927D15"/>
    <w:rsid w:val="0096496D"/>
    <w:rsid w:val="009A33F2"/>
    <w:rsid w:val="009A60E5"/>
    <w:rsid w:val="009B2D92"/>
    <w:rsid w:val="00A06777"/>
    <w:rsid w:val="00A075A6"/>
    <w:rsid w:val="00A13754"/>
    <w:rsid w:val="00A26377"/>
    <w:rsid w:val="00A70E79"/>
    <w:rsid w:val="00A773D6"/>
    <w:rsid w:val="00A83237"/>
    <w:rsid w:val="00A85FFB"/>
    <w:rsid w:val="00AA1A38"/>
    <w:rsid w:val="00AC2929"/>
    <w:rsid w:val="00AC521F"/>
    <w:rsid w:val="00AE6EDE"/>
    <w:rsid w:val="00AF7E12"/>
    <w:rsid w:val="00B36241"/>
    <w:rsid w:val="00B56CA1"/>
    <w:rsid w:val="00B7261F"/>
    <w:rsid w:val="00B76CDF"/>
    <w:rsid w:val="00B82268"/>
    <w:rsid w:val="00BA334A"/>
    <w:rsid w:val="00BA3651"/>
    <w:rsid w:val="00BA4852"/>
    <w:rsid w:val="00BB45B2"/>
    <w:rsid w:val="00BC34EE"/>
    <w:rsid w:val="00BE4D86"/>
    <w:rsid w:val="00C111D8"/>
    <w:rsid w:val="00C158F8"/>
    <w:rsid w:val="00C439F6"/>
    <w:rsid w:val="00C46EC6"/>
    <w:rsid w:val="00C720DC"/>
    <w:rsid w:val="00CB05CD"/>
    <w:rsid w:val="00CC446A"/>
    <w:rsid w:val="00CE4A79"/>
    <w:rsid w:val="00D03053"/>
    <w:rsid w:val="00D4537C"/>
    <w:rsid w:val="00D672AB"/>
    <w:rsid w:val="00D77233"/>
    <w:rsid w:val="00D87E53"/>
    <w:rsid w:val="00DB5F44"/>
    <w:rsid w:val="00DD3C58"/>
    <w:rsid w:val="00E01CCB"/>
    <w:rsid w:val="00E03040"/>
    <w:rsid w:val="00E1208E"/>
    <w:rsid w:val="00E12A5D"/>
    <w:rsid w:val="00E2790C"/>
    <w:rsid w:val="00E32772"/>
    <w:rsid w:val="00E32944"/>
    <w:rsid w:val="00E44C5B"/>
    <w:rsid w:val="00E52EEF"/>
    <w:rsid w:val="00E77610"/>
    <w:rsid w:val="00E81D0C"/>
    <w:rsid w:val="00E86C35"/>
    <w:rsid w:val="00E87133"/>
    <w:rsid w:val="00E97ECC"/>
    <w:rsid w:val="00EA4FAD"/>
    <w:rsid w:val="00EB0B2A"/>
    <w:rsid w:val="00EB3EF4"/>
    <w:rsid w:val="00EE6B7C"/>
    <w:rsid w:val="00F078E4"/>
    <w:rsid w:val="00F10891"/>
    <w:rsid w:val="00F17831"/>
    <w:rsid w:val="00F25B0E"/>
    <w:rsid w:val="00F340BA"/>
    <w:rsid w:val="00F423E7"/>
    <w:rsid w:val="00F53B19"/>
    <w:rsid w:val="00F9536F"/>
    <w:rsid w:val="00FA2158"/>
    <w:rsid w:val="00FB588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660A"/>
  <w15:chartTrackingRefBased/>
  <w15:docId w15:val="{F720CD52-30D3-4C61-85F0-5CA7427B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BA"/>
    <w:pPr>
      <w:snapToGrid w:val="0"/>
      <w:spacing w:line="300" w:lineRule="auto"/>
    </w:pPr>
    <w:rPr>
      <w:rFonts w:ascii="Arial" w:hAnsi="Arial"/>
      <w:sz w:val="18"/>
    </w:rPr>
  </w:style>
  <w:style w:type="paragraph" w:styleId="Heading1">
    <w:name w:val="heading 1"/>
    <w:basedOn w:val="Normal"/>
    <w:next w:val="Normal"/>
    <w:link w:val="Heading1Char"/>
    <w:uiPriority w:val="1"/>
    <w:qFormat/>
    <w:rsid w:val="00A85FFB"/>
    <w:pPr>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AC521F"/>
    <w:rPr>
      <w:color w:val="004C97" w:themeColor="text2"/>
      <w:u w:val="single"/>
    </w:rPr>
  </w:style>
  <w:style w:type="table" w:styleId="TableGrid">
    <w:name w:val="Table Grid"/>
    <w:basedOn w:val="TableNormal"/>
    <w:uiPriority w:val="39"/>
    <w:rsid w:val="006E4371"/>
    <w:pPr>
      <w:spacing w:after="0" w:line="240" w:lineRule="auto"/>
    </w:pPr>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7E12"/>
    <w:rPr>
      <w:color w:val="954F72" w:themeColor="followedHyperlink"/>
      <w:u w:val="single"/>
    </w:rPr>
  </w:style>
  <w:style w:type="character" w:styleId="UnresolvedMention">
    <w:name w:val="Unresolved Mention"/>
    <w:basedOn w:val="DefaultParagraphFont"/>
    <w:uiPriority w:val="99"/>
    <w:semiHidden/>
    <w:unhideWhenUsed/>
    <w:rsid w:val="00E8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6471">
      <w:bodyDiv w:val="1"/>
      <w:marLeft w:val="0"/>
      <w:marRight w:val="0"/>
      <w:marTop w:val="0"/>
      <w:marBottom w:val="0"/>
      <w:divBdr>
        <w:top w:val="none" w:sz="0" w:space="0" w:color="auto"/>
        <w:left w:val="none" w:sz="0" w:space="0" w:color="auto"/>
        <w:bottom w:val="none" w:sz="0" w:space="0" w:color="auto"/>
        <w:right w:val="none" w:sz="0" w:space="0" w:color="auto"/>
      </w:divBdr>
    </w:div>
    <w:div w:id="12342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0955/wp.2016.021" TargetMode="External"/><Relationship Id="rId13" Type="http://schemas.openxmlformats.org/officeDocument/2006/relationships/hyperlink" Target="https://www.imf.org/en/Publications/Publications-By-Author?author=H%c3%a9l%c3%a8ne++Poirson&amp;name=H%C3%A9l%C3%A8ne%20%20Poirson"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mf.org/en/Publications/Publications-By-Author?author=David++de+Padua&amp;name=David%20%20de%20Padua"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Publications/Publications-By-Author?author=Miss+Borislava+Mircheva&amp;name=Miss%20Borislava%20Mircheva"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emf"/><Relationship Id="rId10" Type="http://schemas.openxmlformats.org/officeDocument/2006/relationships/hyperlink" Target="https://www.imf.org/en/Publications/Publications-By-Author?author=Brendan++Harnoys+Vannier&amp;name=Brendan%20%20Harnoys%20Vannier"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imf.org/en/Publications/Publications-By-Author?author=Chiara++Fratto&amp;name=Chiara%20%20Fratto" TargetMode="External"/><Relationship Id="rId14" Type="http://schemas.openxmlformats.org/officeDocument/2006/relationships/image" Target="media/image1.emf"/><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som.yale.edu/node/222278" TargetMode="External"/><Relationship Id="rId7" Type="http://schemas.openxmlformats.org/officeDocument/2006/relationships/hyperlink" Target="https://www.imf.org/en/Publications/CR/Issues/2021/03/17/Malaysia-2021-Article-IV-Consultation-Press-Release-Staff-Report-and-Statement-by-the-50272" TargetMode="External"/><Relationship Id="rId2" Type="http://schemas.openxmlformats.org/officeDocument/2006/relationships/hyperlink" Target="https://www.imf.org/en/Topics/imf-and-covid19/Policy-Responses-to-COVID-19" TargetMode="External"/><Relationship Id="rId1" Type="http://schemas.openxmlformats.org/officeDocument/2006/relationships/hyperlink" Target="mailto:iagur@imf.org" TargetMode="External"/><Relationship Id="rId6" Type="http://schemas.openxmlformats.org/officeDocument/2006/relationships/hyperlink" Target="https://www.imf.org/en/Publications/CR/Issues/2021/03/02/West-African-Economic-and-Monetary-Union-Staff-Report-on-Common-Policies-for-Member-50139" TargetMode="External"/><Relationship Id="rId5" Type="http://schemas.openxmlformats.org/officeDocument/2006/relationships/hyperlink" Target="https://data.imf.org/?sk=B83F71E8-61E3-4CF1-8CF3-6D7FE04D0930" TargetMode="External"/><Relationship Id="rId4" Type="http://schemas.openxmlformats.org/officeDocument/2006/relationships/hyperlink" Target="https://www.esrb.europa.eu/home/search/coronavirus/html/index.en.html" TargetMode="Externa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59179-E91B-475F-9175-6E44003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Agur, Itai</dc:creator>
  <cp:keywords/>
  <dc:description/>
  <cp:lastModifiedBy>Agur, Itai</cp:lastModifiedBy>
  <cp:revision>3</cp:revision>
  <cp:lastPrinted>2022-05-24T12:56:00Z</cp:lastPrinted>
  <dcterms:created xsi:type="dcterms:W3CDTF">2022-09-14T15:07:00Z</dcterms:created>
  <dcterms:modified xsi:type="dcterms:W3CDTF">2022-09-14T15:08:00Z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2022-04-06T20:06:46Z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35fbc386-c198-44ab-ba7d-7f8c949b4762</vt:lpwstr>
  </property>
  <property fmtid="{D5CDD505-2E9C-101B-9397-08002B2CF9AE}" pid="8" name="MSIP_Label_0c07ed86-5dc5-4593-ad03-a8684b843815_ContentBits">
    <vt:lpwstr>0</vt:lpwstr>
  </property>
</Properties>
</file>